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4B230E" w14:textId="4E0D27B8" w:rsidR="00F72F4F" w:rsidRDefault="00510297" w:rsidP="00F72F4F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</w:t>
      </w:r>
      <w:r w:rsidR="00CC3FFD">
        <w:t>1</w:t>
      </w:r>
      <w:r w:rsidR="00BF6574">
        <w:t>2</w:t>
      </w:r>
      <w:r w:rsidR="007C23F3">
        <w:t>bis</w:t>
      </w:r>
      <w:r w:rsidR="00F72F4F">
        <w:tab/>
      </w:r>
      <w:r w:rsidR="00F72F4F">
        <w:tab/>
      </w:r>
      <w:r w:rsidR="00F72FDC" w:rsidRPr="00F72FDC">
        <w:t>R4-2415335</w:t>
      </w:r>
    </w:p>
    <w:p w14:paraId="4A8CACC6" w14:textId="3500E4BB" w:rsidR="00F72F4F" w:rsidRPr="00FD166F" w:rsidRDefault="007C23F3" w:rsidP="00F72F4F">
      <w:pPr>
        <w:pStyle w:val="CH"/>
        <w:tabs>
          <w:tab w:val="clear" w:pos="7920"/>
        </w:tabs>
        <w:rPr>
          <w:b w:val="0"/>
        </w:rPr>
      </w:pPr>
      <w:r>
        <w:t>Hefei, China, October</w:t>
      </w:r>
      <w:r w:rsidRPr="00A14D3F">
        <w:t xml:space="preserve"> </w:t>
      </w:r>
      <w:r>
        <w:t>14</w:t>
      </w:r>
      <w:r>
        <w:rPr>
          <w:vertAlign w:val="superscript"/>
        </w:rPr>
        <w:t>th</w:t>
      </w:r>
      <w:r w:rsidRPr="00A14D3F">
        <w:t xml:space="preserve"> – </w:t>
      </w:r>
      <w:r>
        <w:t>18</w:t>
      </w:r>
      <w:r>
        <w:rPr>
          <w:vertAlign w:val="superscript"/>
        </w:rPr>
        <w:t>th</w:t>
      </w:r>
      <w:r w:rsidRPr="00A14D3F">
        <w:t>, 202</w:t>
      </w:r>
      <w:r>
        <w:t>4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F2C9ACD" w:rsidR="00D309CC" w:rsidRPr="004D7D9D" w:rsidRDefault="00D309CC" w:rsidP="00D309CC">
      <w:pPr>
        <w:pStyle w:val="CH"/>
        <w:rPr>
          <w:b w:val="0"/>
          <w:bCs/>
        </w:rPr>
      </w:pPr>
      <w:r w:rsidRPr="0008103A">
        <w:t>Agenda item:</w:t>
      </w:r>
      <w:r>
        <w:tab/>
      </w:r>
      <w:r w:rsidR="007101FA">
        <w:t>7.1</w:t>
      </w:r>
    </w:p>
    <w:p w14:paraId="4DBE005A" w14:textId="4DFA2DB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42CC48E9" w:rsidR="00D309CC" w:rsidRDefault="00D309CC" w:rsidP="00D6592A">
      <w:pPr>
        <w:pStyle w:val="CH"/>
        <w:ind w:left="2275" w:hanging="2275"/>
      </w:pPr>
      <w:r w:rsidRPr="0008103A">
        <w:t>Title:</w:t>
      </w:r>
      <w:r w:rsidRPr="0008103A">
        <w:tab/>
      </w:r>
      <w:r w:rsidR="0067399D" w:rsidRPr="0067399D">
        <w:t>Views on RAN1 LS on FR2-NTN inclusion to specifications</w:t>
      </w:r>
      <w:r w:rsidR="00EF434A">
        <w:rPr>
          <w:bCs/>
        </w:rPr>
        <w:t xml:space="preserve"> </w:t>
      </w:r>
      <w:r w:rsidR="00D603CA">
        <w:t xml:space="preserve"> </w:t>
      </w:r>
      <w:r w:rsidR="00AC0150">
        <w:t xml:space="preserve"> </w:t>
      </w:r>
    </w:p>
    <w:p w14:paraId="052B1E0C" w14:textId="70889E17" w:rsidR="00104BC6" w:rsidRDefault="00104BC6" w:rsidP="00D309CC">
      <w:pPr>
        <w:pStyle w:val="CH"/>
      </w:pPr>
      <w:r>
        <w:t>WI/SI:</w:t>
      </w:r>
      <w:r>
        <w:tab/>
      </w:r>
      <w:r w:rsidR="00B4719C" w:rsidRPr="00B4719C">
        <w:t>NR_NTN_enh-Core</w:t>
      </w:r>
    </w:p>
    <w:p w14:paraId="6C6D1281" w14:textId="5D561156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B4719C">
        <w:t>8</w:t>
      </w:r>
    </w:p>
    <w:p w14:paraId="2E4E044D" w14:textId="69F2C2E2" w:rsidR="00D309CC" w:rsidRDefault="00D309CC" w:rsidP="00D309CC">
      <w:pPr>
        <w:pStyle w:val="CH"/>
      </w:pPr>
      <w:r>
        <w:t>Document for:</w:t>
      </w:r>
      <w:r>
        <w:tab/>
      </w:r>
      <w:r w:rsidR="003B5C14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1734F79E" w:rsidR="00A75621" w:rsidRPr="00C92E30" w:rsidRDefault="008E7986" w:rsidP="00A75621">
      <w:pPr>
        <w:pStyle w:val="Heading1"/>
        <w:rPr>
          <w:lang w:val="en-US"/>
        </w:rPr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Pr="00C331E9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795DFF92" w14:textId="4A354685" w:rsidR="00B4719C" w:rsidRDefault="00B4719C" w:rsidP="00A117D6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RAN4 received an LS from RAN1 on </w:t>
      </w:r>
      <w:r w:rsidRPr="00B4719C">
        <w:rPr>
          <w:rFonts w:ascii="Arial" w:hAnsi="Arial" w:cs="Arial"/>
          <w:sz w:val="20"/>
          <w:szCs w:val="20"/>
        </w:rPr>
        <w:t>“FR2-NTN inclusion to specifications”</w:t>
      </w:r>
      <w:r>
        <w:rPr>
          <w:rFonts w:ascii="Arial" w:hAnsi="Arial" w:cs="Arial"/>
          <w:sz w:val="20"/>
          <w:szCs w:val="20"/>
        </w:rPr>
        <w:t xml:space="preserve"> [1] to seek for RAN4’s clarifications on the following two questions:</w:t>
      </w:r>
    </w:p>
    <w:p w14:paraId="06E92CC7" w14:textId="0A1B926D" w:rsidR="008E7986" w:rsidRDefault="00B4719C" w:rsidP="00B4719C">
      <w:pPr>
        <w:pStyle w:val="ListParagraph"/>
        <w:numPr>
          <w:ilvl w:val="0"/>
          <w:numId w:val="31"/>
        </w:numPr>
        <w:spacing w:after="120"/>
        <w:ind w:left="648" w:hanging="288"/>
        <w:contextualSpacing w:val="0"/>
        <w:jc w:val="both"/>
        <w:rPr>
          <w:rFonts w:ascii="Arial" w:hAnsi="Arial" w:cs="Arial"/>
          <w:sz w:val="20"/>
          <w:szCs w:val="20"/>
        </w:rPr>
      </w:pPr>
      <w:r w:rsidRPr="00B4719C">
        <w:rPr>
          <w:rFonts w:ascii="Arial" w:hAnsi="Arial" w:cs="Arial"/>
          <w:sz w:val="20"/>
          <w:szCs w:val="20"/>
        </w:rPr>
        <w:t>RAN1 identified that some RAN1 specifications are still unclear regarding whether FR2-1 or FR2-2 procedure should apply to the FR2-NTN, as the current RAN1 specifications define different behaviour between FR2-1 and FR2-2.</w:t>
      </w:r>
    </w:p>
    <w:p w14:paraId="3027B78A" w14:textId="67D06621" w:rsidR="00B4719C" w:rsidRPr="00B4719C" w:rsidRDefault="00B4719C" w:rsidP="00B4719C">
      <w:pPr>
        <w:pStyle w:val="ListParagraph"/>
        <w:numPr>
          <w:ilvl w:val="0"/>
          <w:numId w:val="31"/>
        </w:numPr>
        <w:ind w:left="648" w:hanging="288"/>
        <w:contextualSpacing w:val="0"/>
        <w:jc w:val="both"/>
        <w:rPr>
          <w:rFonts w:ascii="Arial" w:hAnsi="Arial" w:cs="Arial"/>
          <w:sz w:val="20"/>
          <w:szCs w:val="20"/>
        </w:rPr>
      </w:pPr>
      <w:r w:rsidRPr="00B4719C">
        <w:rPr>
          <w:rFonts w:ascii="Arial" w:hAnsi="Arial" w:cs="Arial"/>
          <w:sz w:val="20"/>
          <w:szCs w:val="20"/>
        </w:rPr>
        <w:t>Furthermore, RAN1 understands that NOTE 2 in Table 5.1-1 of 38.101-5 states that FR2-NTN are regarded as FR2 bands, likely to minimize the impact when referencing RAN1 and RAN2 specifications. RAN1 would like to ask RAN4 to consider whether NOTE 2 may need to be updated.</w:t>
      </w:r>
    </w:p>
    <w:p w14:paraId="610F5A2E" w14:textId="77777777" w:rsidR="00B4719C" w:rsidRDefault="00B4719C" w:rsidP="00B4719C">
      <w:pPr>
        <w:jc w:val="both"/>
        <w:rPr>
          <w:rFonts w:ascii="Arial" w:hAnsi="Arial" w:cs="Arial"/>
          <w:sz w:val="20"/>
          <w:szCs w:val="20"/>
        </w:rPr>
      </w:pPr>
    </w:p>
    <w:p w14:paraId="1F1EBA9E" w14:textId="6FCE1F61" w:rsidR="00B4719C" w:rsidRPr="00B4719C" w:rsidRDefault="00B4719C" w:rsidP="00B4719C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this contribution, we </w:t>
      </w:r>
      <w:r w:rsidR="00090307">
        <w:rPr>
          <w:rFonts w:ascii="Arial" w:hAnsi="Arial" w:cs="Arial"/>
          <w:sz w:val="20"/>
          <w:szCs w:val="20"/>
        </w:rPr>
        <w:t>provide</w:t>
      </w:r>
      <w:r>
        <w:rPr>
          <w:rFonts w:ascii="Arial" w:hAnsi="Arial" w:cs="Arial"/>
          <w:sz w:val="20"/>
          <w:szCs w:val="20"/>
        </w:rPr>
        <w:t xml:space="preserve"> our views </w:t>
      </w:r>
      <w:r w:rsidR="008174FE">
        <w:rPr>
          <w:rFonts w:ascii="Arial" w:hAnsi="Arial" w:cs="Arial"/>
          <w:sz w:val="20"/>
          <w:szCs w:val="20"/>
        </w:rPr>
        <w:t xml:space="preserve">on how </w:t>
      </w:r>
      <w:r>
        <w:rPr>
          <w:rFonts w:ascii="Arial" w:hAnsi="Arial" w:cs="Arial"/>
          <w:sz w:val="20"/>
          <w:szCs w:val="20"/>
        </w:rPr>
        <w:t>to address RAN1’s questions above.</w:t>
      </w:r>
    </w:p>
    <w:p w14:paraId="32791781" w14:textId="23E1BD36" w:rsidR="00931C3C" w:rsidRPr="004C2676" w:rsidRDefault="00D463D6" w:rsidP="004C2676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661095E6" w14:textId="77777777" w:rsidR="004C2676" w:rsidRDefault="004C2676" w:rsidP="004C2676">
      <w:pPr>
        <w:jc w:val="both"/>
        <w:rPr>
          <w:rFonts w:ascii="Arial" w:hAnsi="Arial" w:cs="Arial"/>
          <w:bCs/>
          <w:sz w:val="20"/>
          <w:szCs w:val="20"/>
        </w:rPr>
      </w:pPr>
    </w:p>
    <w:p w14:paraId="737A28C8" w14:textId="1480945A" w:rsidR="00C17C12" w:rsidRDefault="00C50BA3" w:rsidP="00C92E3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response to RAN1’s first question on </w:t>
      </w:r>
      <w:r w:rsidRPr="00B4719C">
        <w:rPr>
          <w:rFonts w:ascii="Arial" w:hAnsi="Arial" w:cs="Arial"/>
          <w:sz w:val="20"/>
          <w:szCs w:val="20"/>
        </w:rPr>
        <w:t>whether FR2-1 or FR2-2 procedure should apply to the FR2-NTN</w:t>
      </w:r>
      <w:r>
        <w:rPr>
          <w:rFonts w:ascii="Arial" w:hAnsi="Arial" w:cs="Arial"/>
          <w:sz w:val="20"/>
          <w:szCs w:val="20"/>
        </w:rPr>
        <w:t>, in our view, it should be FR2-1 procedure and that can be confirmed by the following two observations.</w:t>
      </w:r>
    </w:p>
    <w:p w14:paraId="6D355649" w14:textId="77777777" w:rsidR="00C50BA3" w:rsidRDefault="00C50BA3" w:rsidP="00C50BA3">
      <w:pPr>
        <w:jc w:val="both"/>
        <w:rPr>
          <w:rFonts w:ascii="Arial" w:hAnsi="Arial" w:cs="Arial"/>
          <w:sz w:val="20"/>
          <w:szCs w:val="20"/>
        </w:rPr>
      </w:pPr>
    </w:p>
    <w:p w14:paraId="2C7A5A54" w14:textId="77777777" w:rsidR="00B24B83" w:rsidRDefault="00C50BA3" w:rsidP="00C92E3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First, based on the agreed RAN1 CR on </w:t>
      </w:r>
      <w:r w:rsidR="00A07A10">
        <w:rPr>
          <w:rFonts w:ascii="Arial" w:hAnsi="Arial" w:cs="Arial"/>
          <w:sz w:val="20"/>
          <w:szCs w:val="20"/>
        </w:rPr>
        <w:t>“</w:t>
      </w:r>
      <w:r w:rsidRPr="00C50BA3">
        <w:rPr>
          <w:rFonts w:ascii="Arial" w:hAnsi="Arial" w:cs="Arial"/>
          <w:sz w:val="20"/>
          <w:szCs w:val="20"/>
        </w:rPr>
        <w:t>FR2-NTN inclusion to TS</w:t>
      </w:r>
      <w:r w:rsidRPr="00C50BA3">
        <w:rPr>
          <w:rFonts w:ascii="Arial" w:hAnsi="Arial" w:cs="Arial" w:hint="eastAsia"/>
          <w:sz w:val="20"/>
          <w:szCs w:val="20"/>
        </w:rPr>
        <w:t xml:space="preserve"> </w:t>
      </w:r>
      <w:r w:rsidRPr="00C50BA3">
        <w:rPr>
          <w:rFonts w:ascii="Arial" w:hAnsi="Arial" w:cs="Arial"/>
          <w:sz w:val="20"/>
          <w:szCs w:val="20"/>
        </w:rPr>
        <w:t>38.213</w:t>
      </w:r>
      <w:r w:rsidR="00A07A10">
        <w:rPr>
          <w:rFonts w:ascii="Arial" w:hAnsi="Arial" w:cs="Arial"/>
          <w:sz w:val="20"/>
          <w:szCs w:val="20"/>
        </w:rPr>
        <w:t>”</w:t>
      </w:r>
      <w:r w:rsidRPr="00C50BA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[2] as attached in the LS,</w:t>
      </w:r>
      <w:r w:rsidR="00A07A10">
        <w:rPr>
          <w:rFonts w:ascii="Arial" w:hAnsi="Arial" w:cs="Arial"/>
          <w:sz w:val="20"/>
          <w:szCs w:val="20"/>
        </w:rPr>
        <w:t xml:space="preserve"> we can recognize that the UE procedure for determining PDCCH assignment is differentiated by whether the operation is without </w:t>
      </w:r>
      <w:r w:rsidR="00B24B83">
        <w:rPr>
          <w:rFonts w:ascii="Arial" w:hAnsi="Arial" w:cs="Arial"/>
          <w:sz w:val="20"/>
          <w:szCs w:val="20"/>
        </w:rPr>
        <w:t xml:space="preserve">or with </w:t>
      </w:r>
      <w:r w:rsidR="00A07A10">
        <w:rPr>
          <w:rFonts w:ascii="Arial" w:hAnsi="Arial" w:cs="Arial"/>
          <w:sz w:val="20"/>
          <w:szCs w:val="20"/>
        </w:rPr>
        <w:t>“shared spectrum channel access”</w:t>
      </w:r>
      <w:r w:rsidR="00B24B83">
        <w:rPr>
          <w:rFonts w:ascii="Arial" w:hAnsi="Arial" w:cs="Arial"/>
          <w:sz w:val="20"/>
          <w:szCs w:val="20"/>
        </w:rPr>
        <w:t>. Since FR2-NTN access is only within licensed spectrum where the operation is without “shared spectrum channel access” which is also the procedure for FR2-1, the FR2-NTN shall follow the FR2-1 procedure.</w:t>
      </w:r>
    </w:p>
    <w:p w14:paraId="1E3BE899" w14:textId="77777777" w:rsidR="00B24B83" w:rsidRDefault="00B24B83" w:rsidP="00B24B83">
      <w:pPr>
        <w:jc w:val="both"/>
        <w:rPr>
          <w:rFonts w:ascii="Arial" w:hAnsi="Arial" w:cs="Arial"/>
          <w:sz w:val="20"/>
          <w:szCs w:val="20"/>
        </w:rPr>
      </w:pPr>
    </w:p>
    <w:p w14:paraId="6B316646" w14:textId="681BCC3B" w:rsidR="00E7742B" w:rsidRDefault="00E7742B" w:rsidP="00E7742B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82350C">
        <w:rPr>
          <w:rFonts w:ascii="Arial" w:hAnsi="Arial" w:cs="Arial"/>
          <w:b/>
          <w:bCs/>
          <w:i/>
          <w:iCs/>
          <w:sz w:val="20"/>
          <w:szCs w:val="20"/>
        </w:rPr>
        <w:t>Observation 1</w:t>
      </w:r>
      <w:r w:rsidRPr="0082350C">
        <w:rPr>
          <w:rFonts w:ascii="Arial" w:hAnsi="Arial" w:cs="Arial"/>
          <w:i/>
          <w:iCs/>
          <w:sz w:val="20"/>
          <w:szCs w:val="20"/>
        </w:rPr>
        <w:t xml:space="preserve">: </w:t>
      </w:r>
      <w:r w:rsidRPr="00E7742B">
        <w:rPr>
          <w:rFonts w:ascii="Arial" w:hAnsi="Arial" w:cs="Arial"/>
          <w:i/>
          <w:iCs/>
          <w:sz w:val="20"/>
          <w:szCs w:val="20"/>
        </w:rPr>
        <w:t>From the operation without or with “shared spectrum channel access”</w:t>
      </w:r>
      <w:r w:rsidR="00090307">
        <w:rPr>
          <w:rFonts w:ascii="Arial" w:hAnsi="Arial" w:cs="Arial"/>
          <w:i/>
          <w:iCs/>
          <w:sz w:val="20"/>
          <w:szCs w:val="20"/>
        </w:rPr>
        <w:t xml:space="preserve"> perspective</w:t>
      </w:r>
      <w:r>
        <w:rPr>
          <w:rFonts w:ascii="Arial" w:hAnsi="Arial" w:cs="Arial"/>
          <w:i/>
          <w:iCs/>
          <w:sz w:val="20"/>
          <w:szCs w:val="20"/>
        </w:rPr>
        <w:t>, FR2-NTN shall follow the FR2-1 procedure.</w:t>
      </w:r>
    </w:p>
    <w:p w14:paraId="29784D04" w14:textId="77777777" w:rsidR="00E7742B" w:rsidRDefault="00E7742B" w:rsidP="00B24B83">
      <w:pPr>
        <w:jc w:val="both"/>
        <w:rPr>
          <w:rFonts w:ascii="Arial" w:hAnsi="Arial" w:cs="Arial"/>
          <w:sz w:val="20"/>
          <w:szCs w:val="20"/>
        </w:rPr>
      </w:pPr>
    </w:p>
    <w:p w14:paraId="4DF64636" w14:textId="0642394B" w:rsidR="00C92E30" w:rsidRPr="00E7742B" w:rsidRDefault="00B24B83" w:rsidP="00C92E3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Second, </w:t>
      </w:r>
      <w:r w:rsidR="00E7742B">
        <w:rPr>
          <w:rFonts w:ascii="Arial" w:hAnsi="Arial" w:cs="Arial"/>
          <w:sz w:val="20"/>
          <w:szCs w:val="20"/>
        </w:rPr>
        <w:t xml:space="preserve">from the observation that </w:t>
      </w:r>
      <w:r>
        <w:rPr>
          <w:rFonts w:ascii="Arial" w:hAnsi="Arial" w:cs="Arial"/>
          <w:sz w:val="20"/>
          <w:szCs w:val="20"/>
        </w:rPr>
        <w:t xml:space="preserve">the FR2-NTN frequency range only overlaps with FR2-1 and the FR2-NTN numerologies as well as channel bandwidths also align with FR2-1 specifications, it further </w:t>
      </w:r>
      <w:r w:rsidR="00E7742B">
        <w:rPr>
          <w:rFonts w:ascii="Arial" w:hAnsi="Arial" w:cs="Arial"/>
          <w:sz w:val="20"/>
          <w:szCs w:val="20"/>
        </w:rPr>
        <w:t xml:space="preserve">ensures that the FR2-NTN procedure shall </w:t>
      </w:r>
      <w:r w:rsidR="00E7742B" w:rsidRPr="00E7742B">
        <w:rPr>
          <w:rFonts w:ascii="Arial" w:hAnsi="Arial" w:cs="Arial"/>
          <w:sz w:val="20"/>
          <w:szCs w:val="20"/>
        </w:rPr>
        <w:t>follow the FR2-1 procedure.</w:t>
      </w:r>
      <w:r w:rsidR="00E7742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</w:t>
      </w:r>
      <w:r w:rsidR="00A07A10">
        <w:rPr>
          <w:rFonts w:ascii="Arial" w:hAnsi="Arial" w:cs="Arial"/>
          <w:sz w:val="20"/>
          <w:szCs w:val="20"/>
        </w:rPr>
        <w:t xml:space="preserve"> </w:t>
      </w:r>
      <w:r w:rsidR="00C50BA3">
        <w:rPr>
          <w:rFonts w:ascii="Arial" w:hAnsi="Arial" w:cs="Arial"/>
          <w:sz w:val="20"/>
          <w:szCs w:val="20"/>
        </w:rPr>
        <w:t xml:space="preserve">  </w:t>
      </w:r>
      <w:r w:rsidR="00C17C12" w:rsidRPr="0082350C">
        <w:rPr>
          <w:rFonts w:ascii="Arial" w:hAnsi="Arial" w:cs="Arial"/>
          <w:i/>
          <w:iCs/>
          <w:sz w:val="20"/>
          <w:szCs w:val="20"/>
        </w:rPr>
        <w:t xml:space="preserve">  </w:t>
      </w:r>
      <w:r w:rsidR="004F0199" w:rsidRPr="0082350C">
        <w:rPr>
          <w:rFonts w:ascii="Arial" w:hAnsi="Arial" w:cs="Arial"/>
          <w:i/>
          <w:iCs/>
          <w:sz w:val="20"/>
          <w:szCs w:val="20"/>
        </w:rPr>
        <w:t xml:space="preserve">   </w:t>
      </w:r>
      <w:r w:rsidR="007121B5" w:rsidRPr="0082350C">
        <w:rPr>
          <w:rFonts w:ascii="Arial" w:hAnsi="Arial" w:cs="Arial"/>
          <w:i/>
          <w:iCs/>
          <w:sz w:val="20"/>
          <w:szCs w:val="20"/>
        </w:rPr>
        <w:t xml:space="preserve">  </w:t>
      </w:r>
    </w:p>
    <w:p w14:paraId="7BF07688" w14:textId="77777777" w:rsidR="00C92E30" w:rsidRDefault="00C92E30" w:rsidP="00C92E30">
      <w:pPr>
        <w:jc w:val="both"/>
        <w:rPr>
          <w:rFonts w:ascii="Arial" w:hAnsi="Arial" w:cs="Arial"/>
          <w:sz w:val="20"/>
          <w:szCs w:val="20"/>
        </w:rPr>
      </w:pPr>
    </w:p>
    <w:p w14:paraId="27C9E74C" w14:textId="394C68D4" w:rsidR="0082350C" w:rsidRDefault="0082350C" w:rsidP="0082350C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82350C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82350C">
        <w:rPr>
          <w:rFonts w:ascii="Arial" w:hAnsi="Arial" w:cs="Arial"/>
          <w:i/>
          <w:iCs/>
          <w:sz w:val="20"/>
          <w:szCs w:val="20"/>
        </w:rPr>
        <w:t xml:space="preserve">: </w:t>
      </w:r>
      <w:r w:rsidR="00E7742B">
        <w:rPr>
          <w:rFonts w:ascii="Arial" w:hAnsi="Arial" w:cs="Arial"/>
          <w:i/>
          <w:iCs/>
          <w:sz w:val="20"/>
          <w:szCs w:val="20"/>
        </w:rPr>
        <w:t>From the operation frequency range and the supported numerologies and channel bandwidths</w:t>
      </w:r>
      <w:r w:rsidR="00090307">
        <w:rPr>
          <w:rFonts w:ascii="Arial" w:hAnsi="Arial" w:cs="Arial"/>
          <w:i/>
          <w:iCs/>
          <w:sz w:val="20"/>
          <w:szCs w:val="20"/>
        </w:rPr>
        <w:t xml:space="preserve"> perspective</w:t>
      </w:r>
      <w:r w:rsidR="00E7742B">
        <w:rPr>
          <w:rFonts w:ascii="Arial" w:hAnsi="Arial" w:cs="Arial"/>
          <w:i/>
          <w:iCs/>
          <w:sz w:val="20"/>
          <w:szCs w:val="20"/>
        </w:rPr>
        <w:t xml:space="preserve">, FR2-NTN shall follow the FR2-1 procedure. </w:t>
      </w:r>
    </w:p>
    <w:p w14:paraId="28C9844F" w14:textId="2B5CF258" w:rsidR="00C92E30" w:rsidRDefault="00C92E30" w:rsidP="00C92E30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6DB00A28" w14:textId="34400C40" w:rsidR="0082350C" w:rsidRDefault="00E7742B" w:rsidP="00C92E3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="00C96A5B">
        <w:rPr>
          <w:rFonts w:ascii="Arial" w:hAnsi="Arial" w:cs="Arial"/>
          <w:b/>
          <w:bCs/>
          <w:i/>
          <w:iCs/>
          <w:sz w:val="20"/>
          <w:szCs w:val="20"/>
        </w:rPr>
        <w:t xml:space="preserve"> 1</w:t>
      </w:r>
      <w:r w:rsidR="0082350C" w:rsidRPr="0082350C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RAN4 to confirm with RAN1 that FR2-NTN shall follow the FR2-1 procedure.</w:t>
      </w:r>
    </w:p>
    <w:p w14:paraId="4CC23C0C" w14:textId="77777777" w:rsidR="0082350C" w:rsidRDefault="0082350C" w:rsidP="0082350C">
      <w:pPr>
        <w:jc w:val="both"/>
        <w:rPr>
          <w:rFonts w:ascii="Arial" w:hAnsi="Arial" w:cs="Arial"/>
          <w:sz w:val="20"/>
          <w:szCs w:val="20"/>
        </w:rPr>
      </w:pPr>
    </w:p>
    <w:p w14:paraId="693E0B05" w14:textId="1A68AFA6" w:rsidR="00924EB7" w:rsidRDefault="00F32A57" w:rsidP="00C92E30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response RAN1’s second question on whether </w:t>
      </w:r>
      <w:r w:rsidRPr="00B4719C">
        <w:rPr>
          <w:rFonts w:ascii="Arial" w:hAnsi="Arial" w:cs="Arial"/>
          <w:sz w:val="20"/>
          <w:szCs w:val="20"/>
        </w:rPr>
        <w:t>NOTE 2</w:t>
      </w:r>
      <w:r>
        <w:rPr>
          <w:rFonts w:ascii="Arial" w:hAnsi="Arial" w:cs="Arial"/>
          <w:sz w:val="20"/>
          <w:szCs w:val="20"/>
        </w:rPr>
        <w:t xml:space="preserve"> </w:t>
      </w:r>
      <w:r w:rsidRPr="00B4719C">
        <w:rPr>
          <w:rFonts w:ascii="Arial" w:hAnsi="Arial" w:cs="Arial"/>
          <w:sz w:val="20"/>
          <w:szCs w:val="20"/>
        </w:rPr>
        <w:t>in Table 5.1-1 of 38.101-5</w:t>
      </w:r>
      <w:r>
        <w:rPr>
          <w:rFonts w:ascii="Arial" w:hAnsi="Arial" w:cs="Arial"/>
          <w:sz w:val="20"/>
          <w:szCs w:val="20"/>
        </w:rPr>
        <w:t xml:space="preserve"> </w:t>
      </w:r>
      <w:r w:rsidR="00CD7FD3">
        <w:rPr>
          <w:rFonts w:ascii="Arial" w:hAnsi="Arial" w:cs="Arial"/>
          <w:sz w:val="20"/>
          <w:szCs w:val="20"/>
        </w:rPr>
        <w:t xml:space="preserve">may need to be updated, since the note is currently still in square bracket </w:t>
      </w:r>
      <w:r w:rsidR="00924EB7">
        <w:rPr>
          <w:rFonts w:ascii="Arial" w:hAnsi="Arial" w:cs="Arial"/>
          <w:sz w:val="20"/>
          <w:szCs w:val="20"/>
        </w:rPr>
        <w:t xml:space="preserve">as shown in Table 2-1 (recaptured from TS 38.101-5 V18.6.0 Table </w:t>
      </w:r>
      <w:r w:rsidR="00924EB7" w:rsidRPr="00B4719C">
        <w:rPr>
          <w:rFonts w:ascii="Arial" w:hAnsi="Arial" w:cs="Arial"/>
          <w:sz w:val="20"/>
          <w:szCs w:val="20"/>
        </w:rPr>
        <w:t>5.1-1</w:t>
      </w:r>
      <w:r w:rsidR="00924EB7">
        <w:rPr>
          <w:rFonts w:ascii="Arial" w:hAnsi="Arial" w:cs="Arial"/>
          <w:sz w:val="20"/>
          <w:szCs w:val="20"/>
        </w:rPr>
        <w:t xml:space="preserve">) </w:t>
      </w:r>
      <w:r w:rsidR="00CD7FD3">
        <w:rPr>
          <w:rFonts w:ascii="Arial" w:hAnsi="Arial" w:cs="Arial"/>
          <w:sz w:val="20"/>
          <w:szCs w:val="20"/>
        </w:rPr>
        <w:t xml:space="preserve">which means RAN4 is not yet certain on whether the note is necessitated or needs to be updated. In our view, </w:t>
      </w:r>
      <w:r w:rsidR="002F0D6A">
        <w:rPr>
          <w:rFonts w:ascii="Arial" w:hAnsi="Arial" w:cs="Arial"/>
          <w:sz w:val="20"/>
          <w:szCs w:val="20"/>
        </w:rPr>
        <w:t xml:space="preserve">though FR1-NTN frequency range and system parameters are well aligned with the terrestrial </w:t>
      </w:r>
      <w:r w:rsidR="002F0D6A">
        <w:rPr>
          <w:rFonts w:ascii="Arial" w:hAnsi="Arial" w:cs="Arial"/>
          <w:sz w:val="20"/>
          <w:szCs w:val="20"/>
        </w:rPr>
        <w:lastRenderedPageBreak/>
        <w:t xml:space="preserve">network FR1 specifications, the FR2-NTN frequency range however does not fully correlate with </w:t>
      </w:r>
      <w:r w:rsidR="00E95EB1">
        <w:rPr>
          <w:rFonts w:ascii="Arial" w:hAnsi="Arial" w:cs="Arial"/>
          <w:sz w:val="20"/>
          <w:szCs w:val="20"/>
        </w:rPr>
        <w:t xml:space="preserve">the </w:t>
      </w:r>
      <w:r w:rsidR="002F0D6A">
        <w:rPr>
          <w:rFonts w:ascii="Arial" w:hAnsi="Arial" w:cs="Arial"/>
          <w:sz w:val="20"/>
          <w:szCs w:val="20"/>
        </w:rPr>
        <w:t>terrestrial network FR2 nor FR2-1 range</w:t>
      </w:r>
      <w:r w:rsidR="00E75946">
        <w:rPr>
          <w:rFonts w:ascii="Arial" w:hAnsi="Arial" w:cs="Arial"/>
          <w:sz w:val="20"/>
          <w:szCs w:val="20"/>
        </w:rPr>
        <w:t>, t</w:t>
      </w:r>
      <w:r w:rsidR="002F0D6A">
        <w:rPr>
          <w:rFonts w:ascii="Arial" w:hAnsi="Arial" w:cs="Arial"/>
          <w:sz w:val="20"/>
          <w:szCs w:val="20"/>
        </w:rPr>
        <w:t xml:space="preserve">herefore, having NOTE 2 referencing to either FR2 or FR2-1 </w:t>
      </w:r>
      <w:r w:rsidR="00031FA7">
        <w:rPr>
          <w:rFonts w:ascii="Arial" w:hAnsi="Arial" w:cs="Arial"/>
          <w:sz w:val="20"/>
          <w:szCs w:val="20"/>
        </w:rPr>
        <w:t xml:space="preserve">band </w:t>
      </w:r>
      <w:r w:rsidR="002F0D6A">
        <w:rPr>
          <w:rFonts w:ascii="Arial" w:hAnsi="Arial" w:cs="Arial"/>
          <w:sz w:val="20"/>
          <w:szCs w:val="20"/>
        </w:rPr>
        <w:t xml:space="preserve">may cause </w:t>
      </w:r>
      <w:r w:rsidR="00031FA7">
        <w:rPr>
          <w:rFonts w:ascii="Arial" w:hAnsi="Arial" w:cs="Arial"/>
          <w:sz w:val="20"/>
          <w:szCs w:val="20"/>
        </w:rPr>
        <w:t xml:space="preserve">some confusion. If FR2-NTN frequency range can be </w:t>
      </w:r>
      <w:r w:rsidR="00E75946">
        <w:rPr>
          <w:rFonts w:ascii="Arial" w:hAnsi="Arial" w:cs="Arial"/>
          <w:sz w:val="20"/>
          <w:szCs w:val="20"/>
        </w:rPr>
        <w:t>confirmed</w:t>
      </w:r>
      <w:r w:rsidR="00031FA7">
        <w:rPr>
          <w:rFonts w:ascii="Arial" w:hAnsi="Arial" w:cs="Arial"/>
          <w:sz w:val="20"/>
          <w:szCs w:val="20"/>
        </w:rPr>
        <w:t xml:space="preserve"> to follow the FR2-1 procedure</w:t>
      </w:r>
      <w:r w:rsidR="001441CF">
        <w:rPr>
          <w:rFonts w:ascii="Arial" w:hAnsi="Arial" w:cs="Arial"/>
          <w:sz w:val="20"/>
          <w:szCs w:val="20"/>
        </w:rPr>
        <w:t xml:space="preserve"> to RAN1 and RAN2, then NOTE 2 </w:t>
      </w:r>
      <w:r w:rsidR="00E75946">
        <w:rPr>
          <w:rFonts w:ascii="Arial" w:hAnsi="Arial" w:cs="Arial"/>
          <w:sz w:val="20"/>
          <w:szCs w:val="20"/>
        </w:rPr>
        <w:t>may</w:t>
      </w:r>
      <w:r w:rsidR="001441CF">
        <w:rPr>
          <w:rFonts w:ascii="Arial" w:hAnsi="Arial" w:cs="Arial"/>
          <w:sz w:val="20"/>
          <w:szCs w:val="20"/>
        </w:rPr>
        <w:t xml:space="preserve"> be removed to avoid the potential confusion with FR2 or FR2-1.</w:t>
      </w:r>
      <w:r w:rsidR="002E0A7D">
        <w:rPr>
          <w:rFonts w:ascii="Arial" w:hAnsi="Arial" w:cs="Arial"/>
          <w:sz w:val="20"/>
          <w:szCs w:val="20"/>
        </w:rPr>
        <w:t xml:space="preserve"> Or another alternative is to </w:t>
      </w:r>
      <w:r w:rsidR="00C96A5B">
        <w:rPr>
          <w:rFonts w:ascii="Arial" w:hAnsi="Arial" w:cs="Arial"/>
          <w:sz w:val="20"/>
          <w:szCs w:val="20"/>
        </w:rPr>
        <w:t>update</w:t>
      </w:r>
      <w:r w:rsidR="002E0A7D">
        <w:rPr>
          <w:rFonts w:ascii="Arial" w:hAnsi="Arial" w:cs="Arial"/>
          <w:sz w:val="20"/>
          <w:szCs w:val="20"/>
        </w:rPr>
        <w:t xml:space="preserve"> the note </w:t>
      </w:r>
      <w:r w:rsidR="00C96A5B">
        <w:rPr>
          <w:rFonts w:ascii="Arial" w:hAnsi="Arial" w:cs="Arial"/>
          <w:sz w:val="20"/>
          <w:szCs w:val="20"/>
        </w:rPr>
        <w:t xml:space="preserve">to as </w:t>
      </w:r>
      <w:r w:rsidR="002E0A7D">
        <w:rPr>
          <w:rFonts w:ascii="Arial" w:hAnsi="Arial" w:cs="Arial"/>
          <w:sz w:val="20"/>
          <w:szCs w:val="20"/>
        </w:rPr>
        <w:t>“</w:t>
      </w:r>
      <w:r w:rsidR="002E0A7D" w:rsidRPr="002E0A7D">
        <w:rPr>
          <w:rFonts w:ascii="Arial" w:hAnsi="Arial" w:cs="Arial"/>
          <w:sz w:val="20"/>
          <w:szCs w:val="20"/>
        </w:rPr>
        <w:t>NTN bands within this frequency range are</w:t>
      </w:r>
      <w:r w:rsidR="002E0A7D">
        <w:rPr>
          <w:rFonts w:ascii="Arial" w:hAnsi="Arial" w:cs="Arial"/>
          <w:sz w:val="20"/>
          <w:szCs w:val="20"/>
        </w:rPr>
        <w:t xml:space="preserve"> to follow FR2-1 band procedure when referenced from other specifications.”</w:t>
      </w:r>
    </w:p>
    <w:p w14:paraId="1D707F5B" w14:textId="77777777" w:rsidR="00924EB7" w:rsidRDefault="00924EB7" w:rsidP="00924EB7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6"/>
        <w:gridCol w:w="4884"/>
      </w:tblGrid>
      <w:tr w:rsidR="00924EB7" w:rsidRPr="003D5092" w14:paraId="2F95E900" w14:textId="77777777" w:rsidTr="004A48D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6911DB38" w14:textId="77777777" w:rsidR="00924EB7" w:rsidRPr="003D5092" w:rsidRDefault="00924EB7" w:rsidP="004A48D8">
            <w:pPr>
              <w:pStyle w:val="TAH"/>
              <w:spacing w:before="120"/>
              <w:rPr>
                <w:sz w:val="20"/>
              </w:rPr>
            </w:pPr>
            <w:r w:rsidRPr="003D5092">
              <w:rPr>
                <w:sz w:val="20"/>
              </w:rPr>
              <w:t>Frequency range designation</w:t>
            </w:r>
          </w:p>
        </w:tc>
        <w:tc>
          <w:tcPr>
            <w:tcW w:w="4884" w:type="dxa"/>
            <w:shd w:val="clear" w:color="auto" w:fill="auto"/>
          </w:tcPr>
          <w:p w14:paraId="6D13E71B" w14:textId="77777777" w:rsidR="00924EB7" w:rsidRPr="003D5092" w:rsidRDefault="00924EB7" w:rsidP="004A48D8">
            <w:pPr>
              <w:pStyle w:val="TAH"/>
              <w:spacing w:before="120"/>
              <w:rPr>
                <w:sz w:val="20"/>
              </w:rPr>
            </w:pPr>
            <w:r w:rsidRPr="003D5092">
              <w:rPr>
                <w:sz w:val="20"/>
              </w:rPr>
              <w:t xml:space="preserve">Corresponding frequency range </w:t>
            </w:r>
          </w:p>
        </w:tc>
      </w:tr>
      <w:tr w:rsidR="00924EB7" w:rsidRPr="003D5092" w14:paraId="3FCFD0BE" w14:textId="77777777" w:rsidTr="004A48D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51877F3" w14:textId="77777777" w:rsidR="00924EB7" w:rsidRPr="003D5092" w:rsidRDefault="00924EB7" w:rsidP="004A48D8">
            <w:pPr>
              <w:pStyle w:val="TAC"/>
              <w:spacing w:before="120"/>
              <w:rPr>
                <w:sz w:val="20"/>
              </w:rPr>
            </w:pPr>
            <w:r w:rsidRPr="003D5092">
              <w:rPr>
                <w:sz w:val="20"/>
              </w:rPr>
              <w:t>FR1-NTN</w:t>
            </w:r>
            <w:r w:rsidRPr="003D5092">
              <w:rPr>
                <w:sz w:val="20"/>
                <w:vertAlign w:val="superscript"/>
              </w:rPr>
              <w:t>1</w:t>
            </w:r>
          </w:p>
        </w:tc>
        <w:tc>
          <w:tcPr>
            <w:tcW w:w="4884" w:type="dxa"/>
            <w:shd w:val="clear" w:color="auto" w:fill="auto"/>
          </w:tcPr>
          <w:p w14:paraId="36BE5BAD" w14:textId="77777777" w:rsidR="00924EB7" w:rsidRPr="003D5092" w:rsidRDefault="00924EB7" w:rsidP="004A48D8">
            <w:pPr>
              <w:pStyle w:val="TAC"/>
              <w:spacing w:before="120"/>
              <w:rPr>
                <w:sz w:val="20"/>
              </w:rPr>
            </w:pPr>
            <w:r w:rsidRPr="003D5092">
              <w:rPr>
                <w:sz w:val="20"/>
              </w:rPr>
              <w:t>410 MHz – 7125 MHz</w:t>
            </w:r>
          </w:p>
        </w:tc>
      </w:tr>
      <w:tr w:rsidR="00924EB7" w:rsidRPr="003D5092" w14:paraId="7A913AA7" w14:textId="77777777" w:rsidTr="004A48D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287DB26" w14:textId="77777777" w:rsidR="00924EB7" w:rsidRPr="003D5092" w:rsidRDefault="00924EB7" w:rsidP="004A48D8">
            <w:pPr>
              <w:pStyle w:val="TAC"/>
              <w:spacing w:before="120"/>
              <w:rPr>
                <w:sz w:val="20"/>
              </w:rPr>
            </w:pPr>
            <w:r w:rsidRPr="003D5092">
              <w:rPr>
                <w:sz w:val="20"/>
              </w:rPr>
              <w:t>FR2-NTN</w:t>
            </w:r>
            <w:r w:rsidRPr="003D5092">
              <w:rPr>
                <w:sz w:val="20"/>
                <w:vertAlign w:val="superscript"/>
              </w:rPr>
              <w:t>2</w:t>
            </w:r>
          </w:p>
        </w:tc>
        <w:tc>
          <w:tcPr>
            <w:tcW w:w="4884" w:type="dxa"/>
            <w:shd w:val="clear" w:color="auto" w:fill="auto"/>
          </w:tcPr>
          <w:p w14:paraId="50EEF747" w14:textId="77777777" w:rsidR="00924EB7" w:rsidRPr="003D5092" w:rsidRDefault="00924EB7" w:rsidP="004A48D8">
            <w:pPr>
              <w:pStyle w:val="TAC"/>
              <w:spacing w:before="120"/>
              <w:rPr>
                <w:sz w:val="20"/>
              </w:rPr>
            </w:pPr>
            <w:r w:rsidRPr="003D5092">
              <w:rPr>
                <w:sz w:val="20"/>
              </w:rPr>
              <w:t>17300 MHz – 30000 MHz</w:t>
            </w:r>
          </w:p>
        </w:tc>
      </w:tr>
      <w:tr w:rsidR="00924EB7" w:rsidRPr="003D5092" w14:paraId="4DD73C1C" w14:textId="77777777" w:rsidTr="004A48D8">
        <w:trPr>
          <w:cantSplit/>
          <w:jc w:val="center"/>
        </w:trPr>
        <w:tc>
          <w:tcPr>
            <w:tcW w:w="7611" w:type="dxa"/>
            <w:gridSpan w:val="2"/>
            <w:shd w:val="clear" w:color="auto" w:fill="auto"/>
          </w:tcPr>
          <w:p w14:paraId="30840D08" w14:textId="77777777" w:rsidR="00924EB7" w:rsidRPr="003D5092" w:rsidRDefault="00924EB7" w:rsidP="004A48D8">
            <w:pPr>
              <w:pStyle w:val="TAN"/>
              <w:rPr>
                <w:sz w:val="20"/>
              </w:rPr>
            </w:pPr>
            <w:r w:rsidRPr="003D5092">
              <w:rPr>
                <w:sz w:val="20"/>
              </w:rPr>
              <w:t>NOTE 1:</w:t>
            </w:r>
            <w:r w:rsidRPr="003D5092">
              <w:rPr>
                <w:sz w:val="20"/>
              </w:rPr>
              <w:tab/>
              <w:t>[NTN bands within this frequency range are regarded as a FR1 band when references from other specifications.]</w:t>
            </w:r>
          </w:p>
          <w:p w14:paraId="54F4C931" w14:textId="77777777" w:rsidR="00924EB7" w:rsidRPr="003D5092" w:rsidRDefault="00924EB7" w:rsidP="004A48D8">
            <w:pPr>
              <w:pStyle w:val="TAN"/>
              <w:rPr>
                <w:sz w:val="20"/>
              </w:rPr>
            </w:pPr>
            <w:r w:rsidRPr="00B113E2">
              <w:rPr>
                <w:sz w:val="20"/>
              </w:rPr>
              <w:t>NOTE 2:</w:t>
            </w:r>
            <w:r w:rsidRPr="00B113E2">
              <w:rPr>
                <w:sz w:val="20"/>
              </w:rPr>
              <w:tab/>
              <w:t>[NTN bands within this frequency range are regarded as a FR2 band when references from other specifications.]</w:t>
            </w:r>
          </w:p>
        </w:tc>
      </w:tr>
    </w:tbl>
    <w:p w14:paraId="5909A00A" w14:textId="77777777" w:rsidR="00924EB7" w:rsidRDefault="00924EB7" w:rsidP="00924EB7">
      <w:pPr>
        <w:jc w:val="both"/>
        <w:rPr>
          <w:rFonts w:ascii="Arial" w:hAnsi="Arial" w:cs="Arial"/>
          <w:sz w:val="20"/>
          <w:szCs w:val="20"/>
        </w:rPr>
      </w:pPr>
    </w:p>
    <w:p w14:paraId="55E59879" w14:textId="1AE4CEDC" w:rsidR="00C92E30" w:rsidRDefault="00924EB7" w:rsidP="00924EB7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2-1 </w:t>
      </w:r>
      <w:r w:rsidRPr="00924EB7">
        <w:rPr>
          <w:rFonts w:ascii="Arial" w:hAnsi="Arial" w:cs="Arial"/>
          <w:b/>
          <w:bCs/>
          <w:sz w:val="20"/>
          <w:szCs w:val="20"/>
          <w:lang w:val="en-GB"/>
        </w:rPr>
        <w:t>Definition of NTN frequency ranges</w:t>
      </w:r>
    </w:p>
    <w:p w14:paraId="641748A0" w14:textId="77777777" w:rsidR="00C92E30" w:rsidRDefault="00C92E30" w:rsidP="00C92E30">
      <w:pPr>
        <w:jc w:val="both"/>
        <w:rPr>
          <w:rFonts w:ascii="Arial" w:hAnsi="Arial" w:cs="Arial"/>
          <w:sz w:val="20"/>
          <w:szCs w:val="20"/>
        </w:rPr>
      </w:pPr>
    </w:p>
    <w:p w14:paraId="6C4A06D4" w14:textId="1A7CA521" w:rsidR="00C92E30" w:rsidRPr="008D1F7A" w:rsidRDefault="00C92E30" w:rsidP="00C92E30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8D1F7A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 w:rsidR="00090307"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 w:rsidR="00B75DED" w:rsidRPr="00B75DED">
        <w:rPr>
          <w:rFonts w:ascii="Arial" w:hAnsi="Arial" w:cs="Arial"/>
          <w:i/>
          <w:iCs/>
          <w:sz w:val="20"/>
          <w:szCs w:val="20"/>
        </w:rPr>
        <w:t>FR2-NTN frequency range</w:t>
      </w:r>
      <w:r w:rsidR="00B75DED">
        <w:rPr>
          <w:rFonts w:ascii="Arial" w:hAnsi="Arial" w:cs="Arial"/>
          <w:i/>
          <w:iCs/>
          <w:sz w:val="20"/>
          <w:szCs w:val="20"/>
        </w:rPr>
        <w:t xml:space="preserve"> </w:t>
      </w:r>
      <w:r w:rsidR="00B75DED" w:rsidRPr="00B75DED">
        <w:rPr>
          <w:rFonts w:ascii="Arial" w:hAnsi="Arial" w:cs="Arial"/>
          <w:i/>
          <w:iCs/>
          <w:sz w:val="20"/>
          <w:szCs w:val="20"/>
        </w:rPr>
        <w:t xml:space="preserve">does not fully correlate with </w:t>
      </w:r>
      <w:r w:rsidR="00E95EB1">
        <w:rPr>
          <w:rFonts w:ascii="Arial" w:hAnsi="Arial" w:cs="Arial"/>
          <w:i/>
          <w:iCs/>
          <w:sz w:val="20"/>
          <w:szCs w:val="20"/>
        </w:rPr>
        <w:t xml:space="preserve">the </w:t>
      </w:r>
      <w:r w:rsidR="00B75DED" w:rsidRPr="00B75DED">
        <w:rPr>
          <w:rFonts w:ascii="Arial" w:hAnsi="Arial" w:cs="Arial"/>
          <w:i/>
          <w:iCs/>
          <w:sz w:val="20"/>
          <w:szCs w:val="20"/>
        </w:rPr>
        <w:t>terrestrial network FR2 nor FR2-1 range</w:t>
      </w:r>
      <w:r w:rsidR="00821BE7">
        <w:rPr>
          <w:rFonts w:ascii="Arial" w:hAnsi="Arial" w:cs="Arial"/>
          <w:i/>
          <w:iCs/>
          <w:sz w:val="20"/>
          <w:szCs w:val="20"/>
        </w:rPr>
        <w:t>, h</w:t>
      </w:r>
      <w:r w:rsidR="00C96A5B" w:rsidRPr="00C96A5B">
        <w:rPr>
          <w:rFonts w:ascii="Arial" w:hAnsi="Arial" w:cs="Arial"/>
          <w:i/>
          <w:iCs/>
          <w:sz w:val="20"/>
          <w:szCs w:val="20"/>
        </w:rPr>
        <w:t>aving NOTE 2 referencing to either FR2 or FR2-1 band may cause some confusion.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    </w:t>
      </w:r>
    </w:p>
    <w:p w14:paraId="7E5CD04C" w14:textId="77777777" w:rsidR="00564D68" w:rsidRDefault="00564D68" w:rsidP="00B75DED">
      <w:pPr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48E2EFA7" w14:textId="62DEFBF7" w:rsidR="00C96A5B" w:rsidRPr="00C96A5B" w:rsidRDefault="00DA20B4" w:rsidP="008174FE">
      <w:pPr>
        <w:spacing w:after="24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DA20B4">
        <w:rPr>
          <w:rFonts w:ascii="Arial" w:hAnsi="Arial" w:cs="Arial"/>
          <w:b/>
          <w:i/>
          <w:iCs/>
          <w:sz w:val="20"/>
          <w:szCs w:val="20"/>
        </w:rPr>
        <w:t>Proposal</w:t>
      </w:r>
      <w:r w:rsidR="00C96A5B">
        <w:rPr>
          <w:rFonts w:ascii="Arial" w:hAnsi="Arial" w:cs="Arial"/>
          <w:b/>
          <w:i/>
          <w:iCs/>
          <w:sz w:val="20"/>
          <w:szCs w:val="20"/>
        </w:rPr>
        <w:t xml:space="preserve"> 2</w:t>
      </w:r>
      <w:r w:rsidRPr="00DA20B4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 w:rsidR="00C96A5B" w:rsidRPr="00C96A5B">
        <w:rPr>
          <w:rFonts w:ascii="Arial" w:hAnsi="Arial" w:cs="Arial"/>
          <w:bCs/>
          <w:i/>
          <w:iCs/>
          <w:sz w:val="20"/>
          <w:szCs w:val="20"/>
        </w:rPr>
        <w:t xml:space="preserve">If FR2-NTN frequency range can be </w:t>
      </w:r>
      <w:r w:rsidR="00E75946">
        <w:rPr>
          <w:rFonts w:ascii="Arial" w:hAnsi="Arial" w:cs="Arial"/>
          <w:bCs/>
          <w:i/>
          <w:iCs/>
          <w:sz w:val="20"/>
          <w:szCs w:val="20"/>
        </w:rPr>
        <w:t>confirmed</w:t>
      </w:r>
      <w:r w:rsidR="00C96A5B" w:rsidRPr="00C96A5B">
        <w:rPr>
          <w:rFonts w:ascii="Arial" w:hAnsi="Arial" w:cs="Arial"/>
          <w:bCs/>
          <w:i/>
          <w:iCs/>
          <w:sz w:val="20"/>
          <w:szCs w:val="20"/>
        </w:rPr>
        <w:t xml:space="preserve"> to follow the FR2-1 procedure to RAN1 and RAN2</w:t>
      </w:r>
      <w:r w:rsidR="00C96A5B">
        <w:rPr>
          <w:rFonts w:ascii="Arial" w:hAnsi="Arial" w:cs="Arial"/>
          <w:bCs/>
          <w:i/>
          <w:iCs/>
          <w:sz w:val="20"/>
          <w:szCs w:val="20"/>
        </w:rPr>
        <w:t>, RAN4 to consider the following two options on the handling of NOTE 2:</w:t>
      </w:r>
    </w:p>
    <w:p w14:paraId="58BD1E5C" w14:textId="5F2BE23D" w:rsidR="00C96A5B" w:rsidRDefault="00C96A5B" w:rsidP="008174FE">
      <w:pPr>
        <w:spacing w:after="240"/>
        <w:ind w:left="284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090307">
        <w:rPr>
          <w:rFonts w:ascii="Arial" w:hAnsi="Arial" w:cs="Arial"/>
          <w:b/>
          <w:i/>
          <w:iCs/>
          <w:sz w:val="20"/>
          <w:szCs w:val="20"/>
        </w:rPr>
        <w:t>Option 1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: Remove NOTE 2 to </w:t>
      </w:r>
      <w:r w:rsidRPr="00C96A5B">
        <w:rPr>
          <w:rFonts w:ascii="Arial" w:hAnsi="Arial" w:cs="Arial"/>
          <w:bCs/>
          <w:i/>
          <w:iCs/>
          <w:sz w:val="20"/>
          <w:szCs w:val="20"/>
        </w:rPr>
        <w:t>avoid the potential confusion with FR2 or FR2-1.</w:t>
      </w:r>
    </w:p>
    <w:p w14:paraId="3356CFF0" w14:textId="0B9BA6A5" w:rsidR="00C96A5B" w:rsidRPr="00DA20B4" w:rsidRDefault="00C96A5B" w:rsidP="008174FE">
      <w:pPr>
        <w:spacing w:after="120"/>
        <w:ind w:left="288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090307">
        <w:rPr>
          <w:rFonts w:ascii="Arial" w:hAnsi="Arial" w:cs="Arial"/>
          <w:b/>
          <w:i/>
          <w:iCs/>
          <w:sz w:val="20"/>
          <w:szCs w:val="20"/>
        </w:rPr>
        <w:t>Option 2</w:t>
      </w:r>
      <w:r>
        <w:rPr>
          <w:rFonts w:ascii="Arial" w:hAnsi="Arial" w:cs="Arial"/>
          <w:bCs/>
          <w:i/>
          <w:iCs/>
          <w:sz w:val="20"/>
          <w:szCs w:val="20"/>
        </w:rPr>
        <w:t>: Update NOTE 2 to as “</w:t>
      </w:r>
      <w:r w:rsidRPr="00C96A5B">
        <w:rPr>
          <w:rFonts w:ascii="Arial" w:hAnsi="Arial" w:cs="Arial"/>
          <w:bCs/>
          <w:i/>
          <w:iCs/>
          <w:sz w:val="20"/>
          <w:szCs w:val="20"/>
        </w:rPr>
        <w:t>NTN bands within this frequency range are to follow FR2-1 band procedure when referenced from other specifications.”</w:t>
      </w:r>
    </w:p>
    <w:p w14:paraId="34C99636" w14:textId="3E7DFFF1" w:rsidR="008E7986" w:rsidRDefault="002504F0" w:rsidP="008E7986">
      <w:pPr>
        <w:pStyle w:val="Heading1"/>
      </w:pPr>
      <w:r>
        <w:t>3</w:t>
      </w:r>
      <w:r w:rsidR="008E7986">
        <w:tab/>
        <w:t>Conclusion</w:t>
      </w:r>
    </w:p>
    <w:p w14:paraId="673660DA" w14:textId="77777777" w:rsidR="004768DA" w:rsidRPr="004F1ED6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04AEBBF8" w14:textId="714A996A" w:rsidR="006D7B72" w:rsidRPr="00DA20B4" w:rsidRDefault="00090307" w:rsidP="00C358C6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090307">
        <w:rPr>
          <w:rFonts w:ascii="Arial" w:hAnsi="Arial" w:cs="Arial"/>
          <w:sz w:val="20"/>
          <w:szCs w:val="20"/>
        </w:rPr>
        <w:t xml:space="preserve">In this contribution, we provide our views </w:t>
      </w:r>
      <w:r w:rsidR="008174FE">
        <w:rPr>
          <w:rFonts w:ascii="Arial" w:hAnsi="Arial" w:cs="Arial"/>
          <w:sz w:val="20"/>
          <w:szCs w:val="20"/>
        </w:rPr>
        <w:t xml:space="preserve">on how </w:t>
      </w:r>
      <w:r w:rsidRPr="00090307">
        <w:rPr>
          <w:rFonts w:ascii="Arial" w:hAnsi="Arial" w:cs="Arial"/>
          <w:sz w:val="20"/>
          <w:szCs w:val="20"/>
        </w:rPr>
        <w:t xml:space="preserve">to address </w:t>
      </w:r>
      <w:r w:rsidR="008174FE">
        <w:rPr>
          <w:rFonts w:ascii="Arial" w:hAnsi="Arial" w:cs="Arial"/>
          <w:sz w:val="20"/>
          <w:szCs w:val="20"/>
        </w:rPr>
        <w:t>RAN1’s</w:t>
      </w:r>
      <w:r w:rsidRPr="00090307">
        <w:rPr>
          <w:rFonts w:ascii="Arial" w:hAnsi="Arial" w:cs="Arial"/>
          <w:sz w:val="20"/>
          <w:szCs w:val="20"/>
        </w:rPr>
        <w:t xml:space="preserve"> questions</w:t>
      </w:r>
      <w:r>
        <w:rPr>
          <w:rFonts w:ascii="Arial" w:hAnsi="Arial" w:cs="Arial"/>
          <w:sz w:val="20"/>
          <w:szCs w:val="20"/>
        </w:rPr>
        <w:t xml:space="preserve"> in the</w:t>
      </w:r>
      <w:r w:rsidR="008174F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LS on </w:t>
      </w:r>
      <w:r w:rsidRPr="00090307">
        <w:rPr>
          <w:rFonts w:ascii="Arial" w:hAnsi="Arial" w:cs="Arial"/>
          <w:sz w:val="20"/>
          <w:szCs w:val="20"/>
        </w:rPr>
        <w:t>FR2-NTN inclusion to specifications</w:t>
      </w:r>
      <w:r>
        <w:rPr>
          <w:rFonts w:ascii="Arial" w:hAnsi="Arial" w:cs="Arial"/>
          <w:sz w:val="20"/>
          <w:szCs w:val="20"/>
        </w:rPr>
        <w:t xml:space="preserve">.  </w:t>
      </w:r>
    </w:p>
    <w:p w14:paraId="284501E7" w14:textId="77777777" w:rsidR="00DB0BC8" w:rsidRDefault="00DB0BC8" w:rsidP="00DB0BC8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662F9898" w14:textId="00DEF7B4" w:rsidR="00564D68" w:rsidRPr="0082350C" w:rsidRDefault="00090307" w:rsidP="00564D68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82350C">
        <w:rPr>
          <w:rFonts w:ascii="Arial" w:hAnsi="Arial" w:cs="Arial"/>
          <w:b/>
          <w:bCs/>
          <w:i/>
          <w:iCs/>
          <w:sz w:val="20"/>
          <w:szCs w:val="20"/>
        </w:rPr>
        <w:t>Observation 1</w:t>
      </w:r>
      <w:r w:rsidRPr="0082350C">
        <w:rPr>
          <w:rFonts w:ascii="Arial" w:hAnsi="Arial" w:cs="Arial"/>
          <w:i/>
          <w:iCs/>
          <w:sz w:val="20"/>
          <w:szCs w:val="20"/>
        </w:rPr>
        <w:t xml:space="preserve">: </w:t>
      </w:r>
      <w:r w:rsidRPr="00E7742B">
        <w:rPr>
          <w:rFonts w:ascii="Arial" w:hAnsi="Arial" w:cs="Arial"/>
          <w:i/>
          <w:iCs/>
          <w:sz w:val="20"/>
          <w:szCs w:val="20"/>
        </w:rPr>
        <w:t>From the operation without or with “shared spectrum channel access”</w:t>
      </w:r>
      <w:r>
        <w:rPr>
          <w:rFonts w:ascii="Arial" w:hAnsi="Arial" w:cs="Arial"/>
          <w:i/>
          <w:iCs/>
          <w:sz w:val="20"/>
          <w:szCs w:val="20"/>
        </w:rPr>
        <w:t xml:space="preserve"> perspective, FR2-NTN shall follow the FR2-1 procedure.</w:t>
      </w:r>
      <w:r w:rsidR="00564D68" w:rsidRPr="0082350C">
        <w:rPr>
          <w:rFonts w:ascii="Arial" w:hAnsi="Arial" w:cs="Arial"/>
          <w:i/>
          <w:iCs/>
          <w:sz w:val="20"/>
          <w:szCs w:val="20"/>
        </w:rPr>
        <w:t xml:space="preserve">       </w:t>
      </w:r>
    </w:p>
    <w:p w14:paraId="4AFDF229" w14:textId="77777777" w:rsidR="00564D68" w:rsidRDefault="00564D68" w:rsidP="00564D68">
      <w:pPr>
        <w:jc w:val="both"/>
        <w:rPr>
          <w:rFonts w:ascii="Arial" w:hAnsi="Arial" w:cs="Arial"/>
          <w:sz w:val="20"/>
          <w:szCs w:val="20"/>
        </w:rPr>
      </w:pPr>
    </w:p>
    <w:p w14:paraId="0B3FDACD" w14:textId="59BD22D9" w:rsidR="00564D68" w:rsidRDefault="00090307" w:rsidP="00564D68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82350C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82350C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From the operation frequency range and the supported numerologies and channel bandwidths perspective, FR2-NTN shall follow the FR2-1 procedure.</w:t>
      </w:r>
    </w:p>
    <w:p w14:paraId="2BB99E06" w14:textId="77777777" w:rsidR="00564D68" w:rsidRDefault="00564D68" w:rsidP="00564D68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2BB3BA6C" w14:textId="22D0789A" w:rsidR="009F28AE" w:rsidRDefault="00090307" w:rsidP="00564D68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 1</w:t>
      </w:r>
      <w:r w:rsidRPr="0082350C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RAN4 to confirm with RAN1 that FR2-NTN shall follow the FR2-1 procedure.</w:t>
      </w:r>
    </w:p>
    <w:p w14:paraId="6A763538" w14:textId="77777777" w:rsidR="009F28AE" w:rsidRPr="009F28AE" w:rsidRDefault="009F28AE" w:rsidP="009F28AE">
      <w:pPr>
        <w:jc w:val="both"/>
        <w:rPr>
          <w:rFonts w:ascii="Arial" w:hAnsi="Arial" w:cs="Arial"/>
          <w:sz w:val="20"/>
          <w:szCs w:val="20"/>
        </w:rPr>
      </w:pPr>
    </w:p>
    <w:p w14:paraId="18A53C75" w14:textId="34C3CA33" w:rsidR="00564D68" w:rsidRPr="008D1F7A" w:rsidRDefault="008174FE" w:rsidP="00564D68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8D1F7A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Pr="008D1F7A">
        <w:rPr>
          <w:rFonts w:ascii="Arial" w:hAnsi="Arial" w:cs="Arial"/>
          <w:i/>
          <w:iCs/>
          <w:sz w:val="20"/>
          <w:szCs w:val="20"/>
        </w:rPr>
        <w:t xml:space="preserve">: </w:t>
      </w:r>
      <w:r w:rsidRPr="00B75DED">
        <w:rPr>
          <w:rFonts w:ascii="Arial" w:hAnsi="Arial" w:cs="Arial"/>
          <w:i/>
          <w:iCs/>
          <w:sz w:val="20"/>
          <w:szCs w:val="20"/>
        </w:rPr>
        <w:t>FR2-NTN frequency range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B75DED">
        <w:rPr>
          <w:rFonts w:ascii="Arial" w:hAnsi="Arial" w:cs="Arial"/>
          <w:i/>
          <w:iCs/>
          <w:sz w:val="20"/>
          <w:szCs w:val="20"/>
        </w:rPr>
        <w:t xml:space="preserve">does not fully correlate with </w:t>
      </w:r>
      <w:r w:rsidR="00821BE7">
        <w:rPr>
          <w:rFonts w:ascii="Arial" w:hAnsi="Arial" w:cs="Arial"/>
          <w:i/>
          <w:iCs/>
          <w:sz w:val="20"/>
          <w:szCs w:val="20"/>
        </w:rPr>
        <w:t xml:space="preserve">the </w:t>
      </w:r>
      <w:r w:rsidRPr="00B75DED">
        <w:rPr>
          <w:rFonts w:ascii="Arial" w:hAnsi="Arial" w:cs="Arial"/>
          <w:i/>
          <w:iCs/>
          <w:sz w:val="20"/>
          <w:szCs w:val="20"/>
        </w:rPr>
        <w:t>terrestrial network FR2 nor FR2-1 range</w:t>
      </w:r>
      <w:r w:rsidR="00821BE7">
        <w:rPr>
          <w:rFonts w:ascii="Arial" w:hAnsi="Arial" w:cs="Arial"/>
          <w:i/>
          <w:iCs/>
          <w:sz w:val="20"/>
          <w:szCs w:val="20"/>
        </w:rPr>
        <w:t>, h</w:t>
      </w:r>
      <w:r w:rsidRPr="00C96A5B">
        <w:rPr>
          <w:rFonts w:ascii="Arial" w:hAnsi="Arial" w:cs="Arial"/>
          <w:i/>
          <w:iCs/>
          <w:sz w:val="20"/>
          <w:szCs w:val="20"/>
        </w:rPr>
        <w:t>aving NOTE 2 referencing to either FR2 or FR2-1 band may cause some confusion.</w:t>
      </w:r>
      <w:r w:rsidR="00564D68" w:rsidRPr="008D1F7A">
        <w:rPr>
          <w:rFonts w:ascii="Arial" w:hAnsi="Arial" w:cs="Arial"/>
          <w:i/>
          <w:iCs/>
          <w:sz w:val="20"/>
          <w:szCs w:val="20"/>
        </w:rPr>
        <w:t xml:space="preserve">    </w:t>
      </w:r>
    </w:p>
    <w:p w14:paraId="783D7CF5" w14:textId="77777777" w:rsidR="00564D68" w:rsidRDefault="00564D68" w:rsidP="008174FE">
      <w:pPr>
        <w:jc w:val="both"/>
        <w:rPr>
          <w:rFonts w:ascii="Arial" w:hAnsi="Arial" w:cs="Arial"/>
          <w:b/>
          <w:i/>
          <w:iCs/>
          <w:sz w:val="20"/>
          <w:szCs w:val="20"/>
        </w:rPr>
      </w:pPr>
    </w:p>
    <w:p w14:paraId="73F85D5E" w14:textId="77777777" w:rsidR="00E75946" w:rsidRPr="00C96A5B" w:rsidRDefault="00E75946" w:rsidP="00E75946">
      <w:pPr>
        <w:spacing w:after="24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DA20B4">
        <w:rPr>
          <w:rFonts w:ascii="Arial" w:hAnsi="Arial" w:cs="Arial"/>
          <w:b/>
          <w:i/>
          <w:iCs/>
          <w:sz w:val="20"/>
          <w:szCs w:val="20"/>
        </w:rPr>
        <w:t>Proposal</w:t>
      </w:r>
      <w:r>
        <w:rPr>
          <w:rFonts w:ascii="Arial" w:hAnsi="Arial" w:cs="Arial"/>
          <w:b/>
          <w:i/>
          <w:iCs/>
          <w:sz w:val="20"/>
          <w:szCs w:val="20"/>
        </w:rPr>
        <w:t xml:space="preserve"> 2</w:t>
      </w:r>
      <w:r w:rsidRPr="00DA20B4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 w:rsidRPr="00C96A5B">
        <w:rPr>
          <w:rFonts w:ascii="Arial" w:hAnsi="Arial" w:cs="Arial"/>
          <w:bCs/>
          <w:i/>
          <w:iCs/>
          <w:sz w:val="20"/>
          <w:szCs w:val="20"/>
        </w:rPr>
        <w:t xml:space="preserve">If FR2-NTN frequency range can be </w:t>
      </w:r>
      <w:r>
        <w:rPr>
          <w:rFonts w:ascii="Arial" w:hAnsi="Arial" w:cs="Arial"/>
          <w:bCs/>
          <w:i/>
          <w:iCs/>
          <w:sz w:val="20"/>
          <w:szCs w:val="20"/>
        </w:rPr>
        <w:t>confirmed</w:t>
      </w:r>
      <w:r w:rsidRPr="00C96A5B">
        <w:rPr>
          <w:rFonts w:ascii="Arial" w:hAnsi="Arial" w:cs="Arial"/>
          <w:bCs/>
          <w:i/>
          <w:iCs/>
          <w:sz w:val="20"/>
          <w:szCs w:val="20"/>
        </w:rPr>
        <w:t xml:space="preserve"> to follow the FR2-1 procedure to RAN1 and RAN2</w:t>
      </w:r>
      <w:r>
        <w:rPr>
          <w:rFonts w:ascii="Arial" w:hAnsi="Arial" w:cs="Arial"/>
          <w:bCs/>
          <w:i/>
          <w:iCs/>
          <w:sz w:val="20"/>
          <w:szCs w:val="20"/>
        </w:rPr>
        <w:t>, RAN4 to consider the following two options on the handling of NOTE 2:</w:t>
      </w:r>
    </w:p>
    <w:p w14:paraId="1A22DC5B" w14:textId="77777777" w:rsidR="00E75946" w:rsidRDefault="00E75946" w:rsidP="00E75946">
      <w:pPr>
        <w:spacing w:after="240"/>
        <w:ind w:left="284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090307">
        <w:rPr>
          <w:rFonts w:ascii="Arial" w:hAnsi="Arial" w:cs="Arial"/>
          <w:b/>
          <w:i/>
          <w:iCs/>
          <w:sz w:val="20"/>
          <w:szCs w:val="20"/>
        </w:rPr>
        <w:t>Option 1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: Remove NOTE 2 to </w:t>
      </w:r>
      <w:r w:rsidRPr="00C96A5B">
        <w:rPr>
          <w:rFonts w:ascii="Arial" w:hAnsi="Arial" w:cs="Arial"/>
          <w:bCs/>
          <w:i/>
          <w:iCs/>
          <w:sz w:val="20"/>
          <w:szCs w:val="20"/>
        </w:rPr>
        <w:t>avoid the potential confusion with FR2 or FR2-1.</w:t>
      </w:r>
    </w:p>
    <w:p w14:paraId="3254C545" w14:textId="466C569D" w:rsidR="008174FE" w:rsidRPr="00DA20B4" w:rsidRDefault="00E75946" w:rsidP="00E75946">
      <w:pPr>
        <w:spacing w:after="120"/>
        <w:ind w:left="288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090307">
        <w:rPr>
          <w:rFonts w:ascii="Arial" w:hAnsi="Arial" w:cs="Arial"/>
          <w:b/>
          <w:i/>
          <w:iCs/>
          <w:sz w:val="20"/>
          <w:szCs w:val="20"/>
        </w:rPr>
        <w:t>Option 2</w:t>
      </w:r>
      <w:r>
        <w:rPr>
          <w:rFonts w:ascii="Arial" w:hAnsi="Arial" w:cs="Arial"/>
          <w:bCs/>
          <w:i/>
          <w:iCs/>
          <w:sz w:val="20"/>
          <w:szCs w:val="20"/>
        </w:rPr>
        <w:t>: Update NOTE 2 to as “</w:t>
      </w:r>
      <w:r w:rsidRPr="00C96A5B">
        <w:rPr>
          <w:rFonts w:ascii="Arial" w:hAnsi="Arial" w:cs="Arial"/>
          <w:bCs/>
          <w:i/>
          <w:iCs/>
          <w:sz w:val="20"/>
          <w:szCs w:val="20"/>
        </w:rPr>
        <w:t>NTN bands within this frequency range are to follow FR2-1 band procedure when referenced from other specifications.”</w:t>
      </w:r>
    </w:p>
    <w:p w14:paraId="5D2DDC34" w14:textId="0A720319" w:rsidR="005E69AE" w:rsidRDefault="00987E57" w:rsidP="005E69AE">
      <w:pPr>
        <w:pStyle w:val="Heading1"/>
      </w:pPr>
      <w:r>
        <w:lastRenderedPageBreak/>
        <w:t>4</w:t>
      </w:r>
      <w:r w:rsidR="005E69AE">
        <w:tab/>
        <w:t>Reference</w:t>
      </w:r>
      <w:r w:rsidR="00307EB9">
        <w:t>s</w:t>
      </w:r>
    </w:p>
    <w:bookmarkEnd w:id="0"/>
    <w:p w14:paraId="4A11169E" w14:textId="77777777" w:rsidR="000206DB" w:rsidRDefault="000206DB" w:rsidP="000206DB">
      <w:pPr>
        <w:pStyle w:val="EX"/>
        <w:numPr>
          <w:ilvl w:val="0"/>
          <w:numId w:val="0"/>
        </w:numPr>
        <w:jc w:val="both"/>
        <w:rPr>
          <w:rFonts w:ascii="Arial" w:hAnsi="Arial" w:cs="Arial"/>
        </w:rPr>
      </w:pPr>
    </w:p>
    <w:p w14:paraId="6B45D8A2" w14:textId="7F1D8A98" w:rsidR="00C57E50" w:rsidRDefault="003E29F3" w:rsidP="009F28AE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3E29F3">
        <w:rPr>
          <w:rFonts w:ascii="Arial" w:hAnsi="Arial" w:cs="Arial"/>
          <w:bCs/>
          <w:sz w:val="20"/>
          <w:szCs w:val="20"/>
        </w:rPr>
        <w:t>R</w:t>
      </w:r>
      <w:r w:rsidR="00477B86">
        <w:rPr>
          <w:rFonts w:ascii="Arial" w:hAnsi="Arial" w:cs="Arial"/>
          <w:bCs/>
          <w:sz w:val="20"/>
          <w:szCs w:val="20"/>
        </w:rPr>
        <w:t>1</w:t>
      </w:r>
      <w:r w:rsidRPr="003E29F3">
        <w:rPr>
          <w:rFonts w:ascii="Arial" w:hAnsi="Arial" w:cs="Arial"/>
          <w:bCs/>
          <w:sz w:val="20"/>
          <w:szCs w:val="20"/>
        </w:rPr>
        <w:t>-</w:t>
      </w:r>
      <w:r w:rsidR="00477B86" w:rsidRPr="00477B86">
        <w:rPr>
          <w:rFonts w:ascii="Arial" w:hAnsi="Arial" w:cs="Arial"/>
          <w:bCs/>
          <w:sz w:val="20"/>
          <w:szCs w:val="20"/>
        </w:rPr>
        <w:t>2407406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 </w:t>
      </w:r>
      <w:r w:rsidR="00B9016C">
        <w:rPr>
          <w:rFonts w:ascii="Arial" w:hAnsi="Arial" w:cs="Arial"/>
          <w:bCs/>
          <w:sz w:val="20"/>
          <w:szCs w:val="20"/>
        </w:rPr>
        <w:t>“</w:t>
      </w:r>
      <w:r w:rsidR="00477B86" w:rsidRPr="00477B86">
        <w:rPr>
          <w:rFonts w:ascii="Arial" w:hAnsi="Arial" w:cs="Arial"/>
          <w:bCs/>
          <w:sz w:val="20"/>
          <w:szCs w:val="20"/>
        </w:rPr>
        <w:t>LS on FR2-NTN inclusion to specifications</w:t>
      </w:r>
      <w:r w:rsidR="00B9016C">
        <w:rPr>
          <w:rFonts w:ascii="Arial" w:hAnsi="Arial" w:cs="Arial"/>
          <w:bCs/>
          <w:sz w:val="20"/>
          <w:szCs w:val="20"/>
        </w:rPr>
        <w:t>”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, </w:t>
      </w:r>
      <w:r w:rsidR="00477B86">
        <w:rPr>
          <w:rFonts w:ascii="Arial" w:hAnsi="Arial" w:cs="Arial"/>
          <w:bCs/>
          <w:sz w:val="20"/>
          <w:szCs w:val="20"/>
        </w:rPr>
        <w:t>RAN1</w:t>
      </w:r>
      <w:r w:rsidR="00B9016C">
        <w:rPr>
          <w:rFonts w:ascii="Arial" w:hAnsi="Arial" w:cs="Arial"/>
          <w:bCs/>
          <w:sz w:val="20"/>
          <w:szCs w:val="20"/>
        </w:rPr>
        <w:t xml:space="preserve">, 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3GPP TSG-RAN </w:t>
      </w:r>
      <w:r w:rsidR="00477B86">
        <w:rPr>
          <w:rFonts w:ascii="Arial" w:hAnsi="Arial" w:cs="Arial"/>
          <w:bCs/>
          <w:sz w:val="20"/>
          <w:szCs w:val="20"/>
        </w:rPr>
        <w:t xml:space="preserve">WG1 </w:t>
      </w:r>
      <w:r w:rsidR="00B9016C" w:rsidRPr="008B4249">
        <w:rPr>
          <w:rFonts w:ascii="Arial" w:hAnsi="Arial" w:cs="Arial"/>
          <w:bCs/>
          <w:sz w:val="20"/>
          <w:szCs w:val="20"/>
        </w:rPr>
        <w:t>Meeting #</w:t>
      </w:r>
      <w:r>
        <w:rPr>
          <w:rFonts w:ascii="Arial" w:hAnsi="Arial" w:cs="Arial"/>
          <w:bCs/>
          <w:sz w:val="20"/>
          <w:szCs w:val="20"/>
        </w:rPr>
        <w:t>1</w:t>
      </w:r>
      <w:r w:rsidR="00477B86">
        <w:rPr>
          <w:rFonts w:ascii="Arial" w:hAnsi="Arial" w:cs="Arial"/>
          <w:bCs/>
          <w:sz w:val="20"/>
          <w:szCs w:val="20"/>
        </w:rPr>
        <w:t>18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, </w:t>
      </w:r>
      <w:r w:rsidR="00477B86" w:rsidRPr="004C260B">
        <w:rPr>
          <w:rFonts w:ascii="Arial" w:hAnsi="Arial" w:cs="Arial"/>
          <w:bCs/>
          <w:sz w:val="20"/>
          <w:szCs w:val="20"/>
        </w:rPr>
        <w:t>Maastricht, Netherlands, August 19</w:t>
      </w:r>
      <w:r w:rsidR="00477B86" w:rsidRPr="004C260B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477B86" w:rsidRPr="004C260B">
        <w:rPr>
          <w:rFonts w:ascii="Arial" w:hAnsi="Arial" w:cs="Arial"/>
          <w:bCs/>
          <w:sz w:val="20"/>
          <w:szCs w:val="20"/>
        </w:rPr>
        <w:t xml:space="preserve"> – 23</w:t>
      </w:r>
      <w:r w:rsidR="00477B86" w:rsidRPr="004C260B">
        <w:rPr>
          <w:rFonts w:ascii="Arial" w:hAnsi="Arial" w:cs="Arial"/>
          <w:bCs/>
          <w:sz w:val="20"/>
          <w:szCs w:val="20"/>
          <w:vertAlign w:val="superscript"/>
        </w:rPr>
        <w:t>rd</w:t>
      </w:r>
      <w:r w:rsidR="00477B86" w:rsidRPr="004C260B">
        <w:rPr>
          <w:rFonts w:ascii="Arial" w:hAnsi="Arial" w:cs="Arial"/>
          <w:bCs/>
          <w:sz w:val="20"/>
          <w:szCs w:val="20"/>
        </w:rPr>
        <w:t>, 2024</w:t>
      </w:r>
    </w:p>
    <w:p w14:paraId="620B7459" w14:textId="0E02E628" w:rsidR="004C260B" w:rsidRPr="00DD7499" w:rsidRDefault="001E5F25" w:rsidP="00DD7499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1E5F25">
        <w:rPr>
          <w:rFonts w:ascii="Arial" w:hAnsi="Arial" w:cs="Arial"/>
          <w:bCs/>
          <w:sz w:val="20"/>
          <w:szCs w:val="20"/>
        </w:rPr>
        <w:t>R1-240740</w:t>
      </w:r>
      <w:r>
        <w:rPr>
          <w:rFonts w:ascii="Arial" w:hAnsi="Arial" w:cs="Arial"/>
          <w:bCs/>
          <w:sz w:val="20"/>
          <w:szCs w:val="20"/>
        </w:rPr>
        <w:t>7</w:t>
      </w:r>
      <w:r w:rsidR="0091243B">
        <w:rPr>
          <w:rFonts w:ascii="Arial" w:hAnsi="Arial" w:cs="Arial"/>
          <w:bCs/>
          <w:sz w:val="20"/>
          <w:szCs w:val="20"/>
        </w:rPr>
        <w:t xml:space="preserve"> </w:t>
      </w:r>
      <w:r w:rsidR="004C260B" w:rsidRPr="004C260B">
        <w:rPr>
          <w:rFonts w:ascii="Arial" w:hAnsi="Arial" w:cs="Arial"/>
          <w:bCs/>
          <w:sz w:val="20"/>
          <w:szCs w:val="20"/>
        </w:rPr>
        <w:t>“</w:t>
      </w:r>
      <w:r w:rsidRPr="001E5F25">
        <w:rPr>
          <w:rFonts w:ascii="Arial" w:hAnsi="Arial" w:cs="Arial"/>
          <w:bCs/>
          <w:sz w:val="20"/>
          <w:szCs w:val="20"/>
        </w:rPr>
        <w:t>CR on FR2-NTN inclusion to TS 38.213</w:t>
      </w:r>
      <w:r w:rsidR="004C260B" w:rsidRPr="004C260B">
        <w:rPr>
          <w:rFonts w:ascii="Arial" w:hAnsi="Arial" w:cs="Arial"/>
          <w:bCs/>
          <w:sz w:val="20"/>
          <w:szCs w:val="20"/>
        </w:rPr>
        <w:t>”</w:t>
      </w:r>
      <w:r w:rsidR="004C260B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Vivo</w:t>
      </w:r>
      <w:r w:rsidR="004C260B">
        <w:rPr>
          <w:rFonts w:ascii="Arial" w:hAnsi="Arial" w:cs="Arial"/>
          <w:bCs/>
          <w:sz w:val="20"/>
          <w:szCs w:val="20"/>
        </w:rPr>
        <w:t xml:space="preserve"> </w:t>
      </w:r>
      <w:r w:rsidR="004C260B" w:rsidRPr="004C260B">
        <w:rPr>
          <w:rFonts w:ascii="Arial" w:hAnsi="Arial" w:cs="Arial"/>
          <w:bCs/>
          <w:i/>
          <w:iCs/>
          <w:sz w:val="20"/>
          <w:szCs w:val="20"/>
        </w:rPr>
        <w:t>et. al.</w:t>
      </w:r>
      <w:r w:rsidR="004C260B">
        <w:rPr>
          <w:rFonts w:ascii="Arial" w:hAnsi="Arial" w:cs="Arial"/>
          <w:bCs/>
          <w:sz w:val="20"/>
          <w:szCs w:val="20"/>
        </w:rPr>
        <w:t xml:space="preserve">, </w:t>
      </w:r>
      <w:r w:rsidRPr="008B4249">
        <w:rPr>
          <w:rFonts w:ascii="Arial" w:hAnsi="Arial" w:cs="Arial"/>
          <w:bCs/>
          <w:sz w:val="20"/>
          <w:szCs w:val="20"/>
        </w:rPr>
        <w:t xml:space="preserve">3GPP TSG-RAN </w:t>
      </w:r>
      <w:r>
        <w:rPr>
          <w:rFonts w:ascii="Arial" w:hAnsi="Arial" w:cs="Arial"/>
          <w:bCs/>
          <w:sz w:val="20"/>
          <w:szCs w:val="20"/>
        </w:rPr>
        <w:t xml:space="preserve">WG1 </w:t>
      </w:r>
      <w:r w:rsidRPr="008B4249">
        <w:rPr>
          <w:rFonts w:ascii="Arial" w:hAnsi="Arial" w:cs="Arial"/>
          <w:bCs/>
          <w:sz w:val="20"/>
          <w:szCs w:val="20"/>
        </w:rPr>
        <w:t>Meeting #</w:t>
      </w:r>
      <w:r>
        <w:rPr>
          <w:rFonts w:ascii="Arial" w:hAnsi="Arial" w:cs="Arial"/>
          <w:bCs/>
          <w:sz w:val="20"/>
          <w:szCs w:val="20"/>
        </w:rPr>
        <w:t>118</w:t>
      </w:r>
      <w:r w:rsidRPr="008B4249">
        <w:rPr>
          <w:rFonts w:ascii="Arial" w:hAnsi="Arial" w:cs="Arial"/>
          <w:bCs/>
          <w:sz w:val="20"/>
          <w:szCs w:val="20"/>
        </w:rPr>
        <w:t xml:space="preserve">, </w:t>
      </w:r>
      <w:r w:rsidRPr="004C260B">
        <w:rPr>
          <w:rFonts w:ascii="Arial" w:hAnsi="Arial" w:cs="Arial"/>
          <w:bCs/>
          <w:sz w:val="20"/>
          <w:szCs w:val="20"/>
        </w:rPr>
        <w:t>Maastricht, Netherlands, August 19</w:t>
      </w:r>
      <w:r w:rsidRPr="004C260B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4C260B">
        <w:rPr>
          <w:rFonts w:ascii="Arial" w:hAnsi="Arial" w:cs="Arial"/>
          <w:bCs/>
          <w:sz w:val="20"/>
          <w:szCs w:val="20"/>
        </w:rPr>
        <w:t xml:space="preserve"> – 23</w:t>
      </w:r>
      <w:r w:rsidRPr="004C260B">
        <w:rPr>
          <w:rFonts w:ascii="Arial" w:hAnsi="Arial" w:cs="Arial"/>
          <w:bCs/>
          <w:sz w:val="20"/>
          <w:szCs w:val="20"/>
          <w:vertAlign w:val="superscript"/>
        </w:rPr>
        <w:t>rd</w:t>
      </w:r>
      <w:r w:rsidRPr="004C260B">
        <w:rPr>
          <w:rFonts w:ascii="Arial" w:hAnsi="Arial" w:cs="Arial"/>
          <w:bCs/>
          <w:sz w:val="20"/>
          <w:szCs w:val="20"/>
        </w:rPr>
        <w:t>, 2024</w:t>
      </w:r>
    </w:p>
    <w:sectPr w:rsidR="004C260B" w:rsidRPr="00DD7499" w:rsidSect="00D975F5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EEF738" w14:textId="77777777" w:rsidR="00AE0D7C" w:rsidRDefault="00AE0D7C">
      <w:r>
        <w:separator/>
      </w:r>
    </w:p>
  </w:endnote>
  <w:endnote w:type="continuationSeparator" w:id="0">
    <w:p w14:paraId="336735E3" w14:textId="77777777" w:rsidR="00AE0D7C" w:rsidRDefault="00AE0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CDE99D" w14:textId="77777777" w:rsidR="00AE0D7C" w:rsidRDefault="00AE0D7C">
      <w:r>
        <w:separator/>
      </w:r>
    </w:p>
  </w:footnote>
  <w:footnote w:type="continuationSeparator" w:id="0">
    <w:p w14:paraId="3DBB65F2" w14:textId="77777777" w:rsidR="00AE0D7C" w:rsidRDefault="00AE0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C0972"/>
    <w:multiLevelType w:val="hybridMultilevel"/>
    <w:tmpl w:val="17883738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644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0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2F67D9"/>
    <w:multiLevelType w:val="hybridMultilevel"/>
    <w:tmpl w:val="96C6C1C2"/>
    <w:lvl w:ilvl="0" w:tplc="0409000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72" w:hanging="360"/>
      </w:pPr>
      <w:rPr>
        <w:rFonts w:ascii="Wingdings" w:hAnsi="Wingdings" w:hint="default"/>
      </w:rPr>
    </w:lvl>
  </w:abstractNum>
  <w:abstractNum w:abstractNumId="20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CB1E44"/>
    <w:multiLevelType w:val="hybridMultilevel"/>
    <w:tmpl w:val="0CBCF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FE74F2"/>
    <w:multiLevelType w:val="hybridMultilevel"/>
    <w:tmpl w:val="5F0CD5D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4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E793DE8"/>
    <w:multiLevelType w:val="hybridMultilevel"/>
    <w:tmpl w:val="57B89FE4"/>
    <w:lvl w:ilvl="0" w:tplc="0CBE52C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2"/>
  </w:num>
  <w:num w:numId="4" w16cid:durableId="127014041">
    <w:abstractNumId w:val="22"/>
  </w:num>
  <w:num w:numId="5" w16cid:durableId="977950936">
    <w:abstractNumId w:val="3"/>
  </w:num>
  <w:num w:numId="6" w16cid:durableId="1850876431">
    <w:abstractNumId w:val="3"/>
  </w:num>
  <w:num w:numId="7" w16cid:durableId="428896142">
    <w:abstractNumId w:val="16"/>
  </w:num>
  <w:num w:numId="8" w16cid:durableId="2080327107">
    <w:abstractNumId w:val="6"/>
  </w:num>
  <w:num w:numId="9" w16cid:durableId="459036515">
    <w:abstractNumId w:val="17"/>
  </w:num>
  <w:num w:numId="10" w16cid:durableId="892421984">
    <w:abstractNumId w:val="7"/>
  </w:num>
  <w:num w:numId="11" w16cid:durableId="973826835">
    <w:abstractNumId w:val="8"/>
  </w:num>
  <w:num w:numId="12" w16cid:durableId="48696969">
    <w:abstractNumId w:val="26"/>
  </w:num>
  <w:num w:numId="13" w16cid:durableId="1621182100">
    <w:abstractNumId w:val="11"/>
  </w:num>
  <w:num w:numId="14" w16cid:durableId="681855791">
    <w:abstractNumId w:val="12"/>
  </w:num>
  <w:num w:numId="15" w16cid:durableId="1387412062">
    <w:abstractNumId w:val="18"/>
  </w:num>
  <w:num w:numId="16" w16cid:durableId="1707214678">
    <w:abstractNumId w:val="27"/>
  </w:num>
  <w:num w:numId="17" w16cid:durableId="1228883719">
    <w:abstractNumId w:val="15"/>
  </w:num>
  <w:num w:numId="18" w16cid:durableId="1736001611">
    <w:abstractNumId w:val="10"/>
  </w:num>
  <w:num w:numId="19" w16cid:durableId="1708026189">
    <w:abstractNumId w:val="25"/>
  </w:num>
  <w:num w:numId="20" w16cid:durableId="2134398882">
    <w:abstractNumId w:val="14"/>
  </w:num>
  <w:num w:numId="21" w16cid:durableId="1707292931">
    <w:abstractNumId w:val="13"/>
  </w:num>
  <w:num w:numId="22" w16cid:durableId="1872840210">
    <w:abstractNumId w:val="5"/>
  </w:num>
  <w:num w:numId="23" w16cid:durableId="988828275">
    <w:abstractNumId w:val="20"/>
  </w:num>
  <w:num w:numId="24" w16cid:durableId="639112823">
    <w:abstractNumId w:val="24"/>
  </w:num>
  <w:num w:numId="25" w16cid:durableId="1758358505">
    <w:abstractNumId w:val="4"/>
  </w:num>
  <w:num w:numId="26" w16cid:durableId="2108961271">
    <w:abstractNumId w:val="28"/>
  </w:num>
  <w:num w:numId="27" w16cid:durableId="1853451127">
    <w:abstractNumId w:val="23"/>
  </w:num>
  <w:num w:numId="28" w16cid:durableId="719016014">
    <w:abstractNumId w:val="21"/>
  </w:num>
  <w:num w:numId="29" w16cid:durableId="44761965">
    <w:abstractNumId w:val="9"/>
  </w:num>
  <w:num w:numId="30" w16cid:durableId="750783015">
    <w:abstractNumId w:val="1"/>
  </w:num>
  <w:num w:numId="31" w16cid:durableId="20834561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65"/>
    <w:rsid w:val="00005DB5"/>
    <w:rsid w:val="0000623D"/>
    <w:rsid w:val="00011CAD"/>
    <w:rsid w:val="0001328E"/>
    <w:rsid w:val="00013EE4"/>
    <w:rsid w:val="00014468"/>
    <w:rsid w:val="0001503B"/>
    <w:rsid w:val="00016134"/>
    <w:rsid w:val="0001757D"/>
    <w:rsid w:val="000206DB"/>
    <w:rsid w:val="00020EA3"/>
    <w:rsid w:val="0002182B"/>
    <w:rsid w:val="0002328A"/>
    <w:rsid w:val="00023B9C"/>
    <w:rsid w:val="00024434"/>
    <w:rsid w:val="0002498B"/>
    <w:rsid w:val="00031FA7"/>
    <w:rsid w:val="00033397"/>
    <w:rsid w:val="00034BFA"/>
    <w:rsid w:val="000357CB"/>
    <w:rsid w:val="00035A90"/>
    <w:rsid w:val="000369F4"/>
    <w:rsid w:val="00037817"/>
    <w:rsid w:val="00040095"/>
    <w:rsid w:val="00040A8C"/>
    <w:rsid w:val="00040B9B"/>
    <w:rsid w:val="00041F2A"/>
    <w:rsid w:val="00042309"/>
    <w:rsid w:val="00042B4B"/>
    <w:rsid w:val="00042D32"/>
    <w:rsid w:val="000446B1"/>
    <w:rsid w:val="00044DE2"/>
    <w:rsid w:val="000453B8"/>
    <w:rsid w:val="00047271"/>
    <w:rsid w:val="00047F47"/>
    <w:rsid w:val="00050FF1"/>
    <w:rsid w:val="00051834"/>
    <w:rsid w:val="000521A4"/>
    <w:rsid w:val="000526D6"/>
    <w:rsid w:val="000544CF"/>
    <w:rsid w:val="00054529"/>
    <w:rsid w:val="00054A22"/>
    <w:rsid w:val="0005725D"/>
    <w:rsid w:val="000572D5"/>
    <w:rsid w:val="00057E41"/>
    <w:rsid w:val="000602CA"/>
    <w:rsid w:val="000607C9"/>
    <w:rsid w:val="00061B4F"/>
    <w:rsid w:val="00062023"/>
    <w:rsid w:val="000622AE"/>
    <w:rsid w:val="00065297"/>
    <w:rsid w:val="000655A6"/>
    <w:rsid w:val="00066C19"/>
    <w:rsid w:val="0006704A"/>
    <w:rsid w:val="0007035B"/>
    <w:rsid w:val="0007513F"/>
    <w:rsid w:val="00076DD0"/>
    <w:rsid w:val="00080512"/>
    <w:rsid w:val="00080638"/>
    <w:rsid w:val="0008297C"/>
    <w:rsid w:val="00084525"/>
    <w:rsid w:val="00084A90"/>
    <w:rsid w:val="00087378"/>
    <w:rsid w:val="00090307"/>
    <w:rsid w:val="000935D0"/>
    <w:rsid w:val="000940F1"/>
    <w:rsid w:val="00094B0E"/>
    <w:rsid w:val="00095EA8"/>
    <w:rsid w:val="000A0829"/>
    <w:rsid w:val="000A0A4F"/>
    <w:rsid w:val="000A0C3B"/>
    <w:rsid w:val="000A150F"/>
    <w:rsid w:val="000A365D"/>
    <w:rsid w:val="000A4202"/>
    <w:rsid w:val="000A4877"/>
    <w:rsid w:val="000A608C"/>
    <w:rsid w:val="000A68F3"/>
    <w:rsid w:val="000A7399"/>
    <w:rsid w:val="000A7DF9"/>
    <w:rsid w:val="000B6018"/>
    <w:rsid w:val="000B61FB"/>
    <w:rsid w:val="000B6AF7"/>
    <w:rsid w:val="000C16C8"/>
    <w:rsid w:val="000C1729"/>
    <w:rsid w:val="000C19D9"/>
    <w:rsid w:val="000C47C3"/>
    <w:rsid w:val="000C54D8"/>
    <w:rsid w:val="000C59CD"/>
    <w:rsid w:val="000C60A3"/>
    <w:rsid w:val="000C71D9"/>
    <w:rsid w:val="000D0571"/>
    <w:rsid w:val="000D0FD8"/>
    <w:rsid w:val="000D1DD8"/>
    <w:rsid w:val="000D2743"/>
    <w:rsid w:val="000D429E"/>
    <w:rsid w:val="000D50E3"/>
    <w:rsid w:val="000D58AB"/>
    <w:rsid w:val="000D6A52"/>
    <w:rsid w:val="000D6C55"/>
    <w:rsid w:val="000D7301"/>
    <w:rsid w:val="000E162D"/>
    <w:rsid w:val="000E1A37"/>
    <w:rsid w:val="000E1CAF"/>
    <w:rsid w:val="000E2238"/>
    <w:rsid w:val="000E4B1E"/>
    <w:rsid w:val="000E4EA5"/>
    <w:rsid w:val="000E5476"/>
    <w:rsid w:val="000E61C4"/>
    <w:rsid w:val="000E6339"/>
    <w:rsid w:val="000E6A30"/>
    <w:rsid w:val="000E751D"/>
    <w:rsid w:val="000F42FB"/>
    <w:rsid w:val="000F5EA9"/>
    <w:rsid w:val="00102958"/>
    <w:rsid w:val="001041BB"/>
    <w:rsid w:val="0010474C"/>
    <w:rsid w:val="00104BC6"/>
    <w:rsid w:val="00105F72"/>
    <w:rsid w:val="00106392"/>
    <w:rsid w:val="00106A77"/>
    <w:rsid w:val="001104F4"/>
    <w:rsid w:val="00110A8D"/>
    <w:rsid w:val="00111EDD"/>
    <w:rsid w:val="00112B6A"/>
    <w:rsid w:val="001137B2"/>
    <w:rsid w:val="00113A07"/>
    <w:rsid w:val="001140B8"/>
    <w:rsid w:val="00114E2C"/>
    <w:rsid w:val="00120C7E"/>
    <w:rsid w:val="00121103"/>
    <w:rsid w:val="00122D29"/>
    <w:rsid w:val="00126615"/>
    <w:rsid w:val="00133525"/>
    <w:rsid w:val="00137EE2"/>
    <w:rsid w:val="00141326"/>
    <w:rsid w:val="00142C17"/>
    <w:rsid w:val="00143126"/>
    <w:rsid w:val="001441A8"/>
    <w:rsid w:val="001441CF"/>
    <w:rsid w:val="00144D61"/>
    <w:rsid w:val="00146540"/>
    <w:rsid w:val="00146BF3"/>
    <w:rsid w:val="0014707B"/>
    <w:rsid w:val="001476E2"/>
    <w:rsid w:val="001500E5"/>
    <w:rsid w:val="001507CE"/>
    <w:rsid w:val="00150FB2"/>
    <w:rsid w:val="001553DE"/>
    <w:rsid w:val="00160A04"/>
    <w:rsid w:val="00162B22"/>
    <w:rsid w:val="00162BD3"/>
    <w:rsid w:val="001655BB"/>
    <w:rsid w:val="0016611C"/>
    <w:rsid w:val="00166B5C"/>
    <w:rsid w:val="00166F82"/>
    <w:rsid w:val="00171090"/>
    <w:rsid w:val="00171900"/>
    <w:rsid w:val="0017381F"/>
    <w:rsid w:val="0017591E"/>
    <w:rsid w:val="00175D32"/>
    <w:rsid w:val="00176183"/>
    <w:rsid w:val="0018025B"/>
    <w:rsid w:val="00181118"/>
    <w:rsid w:val="001815E8"/>
    <w:rsid w:val="001825F0"/>
    <w:rsid w:val="00183720"/>
    <w:rsid w:val="001841B1"/>
    <w:rsid w:val="00184AB9"/>
    <w:rsid w:val="0018540A"/>
    <w:rsid w:val="001856D4"/>
    <w:rsid w:val="00185E52"/>
    <w:rsid w:val="001938B6"/>
    <w:rsid w:val="00194F42"/>
    <w:rsid w:val="00195133"/>
    <w:rsid w:val="00197470"/>
    <w:rsid w:val="00197E77"/>
    <w:rsid w:val="001A1551"/>
    <w:rsid w:val="001A2CF1"/>
    <w:rsid w:val="001A3995"/>
    <w:rsid w:val="001A410D"/>
    <w:rsid w:val="001A4A5F"/>
    <w:rsid w:val="001A4C42"/>
    <w:rsid w:val="001A6005"/>
    <w:rsid w:val="001A646C"/>
    <w:rsid w:val="001A7772"/>
    <w:rsid w:val="001B2D20"/>
    <w:rsid w:val="001B3DBF"/>
    <w:rsid w:val="001B7371"/>
    <w:rsid w:val="001B7504"/>
    <w:rsid w:val="001C21C3"/>
    <w:rsid w:val="001C62F8"/>
    <w:rsid w:val="001C65A6"/>
    <w:rsid w:val="001D02C2"/>
    <w:rsid w:val="001D1470"/>
    <w:rsid w:val="001D2A82"/>
    <w:rsid w:val="001E08B8"/>
    <w:rsid w:val="001E145D"/>
    <w:rsid w:val="001E3A12"/>
    <w:rsid w:val="001E5433"/>
    <w:rsid w:val="001E5F25"/>
    <w:rsid w:val="001E6049"/>
    <w:rsid w:val="001F0755"/>
    <w:rsid w:val="001F0C1D"/>
    <w:rsid w:val="001F1132"/>
    <w:rsid w:val="001F168B"/>
    <w:rsid w:val="001F4BE5"/>
    <w:rsid w:val="001F59D5"/>
    <w:rsid w:val="001F6315"/>
    <w:rsid w:val="001F6FF3"/>
    <w:rsid w:val="002006FE"/>
    <w:rsid w:val="00203D18"/>
    <w:rsid w:val="00204648"/>
    <w:rsid w:val="00205934"/>
    <w:rsid w:val="002077B7"/>
    <w:rsid w:val="00210031"/>
    <w:rsid w:val="0021021D"/>
    <w:rsid w:val="002107B1"/>
    <w:rsid w:val="002115E7"/>
    <w:rsid w:val="002121FB"/>
    <w:rsid w:val="00213295"/>
    <w:rsid w:val="002135C0"/>
    <w:rsid w:val="00215B33"/>
    <w:rsid w:val="00215C07"/>
    <w:rsid w:val="0021744E"/>
    <w:rsid w:val="00217AE3"/>
    <w:rsid w:val="00217F77"/>
    <w:rsid w:val="0022541F"/>
    <w:rsid w:val="00226E52"/>
    <w:rsid w:val="00227765"/>
    <w:rsid w:val="00231349"/>
    <w:rsid w:val="002330A3"/>
    <w:rsid w:val="002334F0"/>
    <w:rsid w:val="00233650"/>
    <w:rsid w:val="002347A2"/>
    <w:rsid w:val="00234D70"/>
    <w:rsid w:val="00235F7A"/>
    <w:rsid w:val="002363C0"/>
    <w:rsid w:val="00242B97"/>
    <w:rsid w:val="0024384F"/>
    <w:rsid w:val="002450A4"/>
    <w:rsid w:val="002452AE"/>
    <w:rsid w:val="00247926"/>
    <w:rsid w:val="002504F0"/>
    <w:rsid w:val="00253BD5"/>
    <w:rsid w:val="00256995"/>
    <w:rsid w:val="00257410"/>
    <w:rsid w:val="002608DE"/>
    <w:rsid w:val="00261B7C"/>
    <w:rsid w:val="002627B4"/>
    <w:rsid w:val="002637C2"/>
    <w:rsid w:val="0026424E"/>
    <w:rsid w:val="00266DC0"/>
    <w:rsid w:val="002675F0"/>
    <w:rsid w:val="00271B31"/>
    <w:rsid w:val="002726BC"/>
    <w:rsid w:val="00274A90"/>
    <w:rsid w:val="00275D60"/>
    <w:rsid w:val="00276C70"/>
    <w:rsid w:val="00276EE4"/>
    <w:rsid w:val="00277172"/>
    <w:rsid w:val="00277585"/>
    <w:rsid w:val="00277626"/>
    <w:rsid w:val="0028051A"/>
    <w:rsid w:val="0028193A"/>
    <w:rsid w:val="00284236"/>
    <w:rsid w:val="0028485D"/>
    <w:rsid w:val="00286917"/>
    <w:rsid w:val="0029079A"/>
    <w:rsid w:val="00291A2A"/>
    <w:rsid w:val="00296065"/>
    <w:rsid w:val="00296836"/>
    <w:rsid w:val="002A040F"/>
    <w:rsid w:val="002A07F2"/>
    <w:rsid w:val="002A195A"/>
    <w:rsid w:val="002A2A03"/>
    <w:rsid w:val="002A3EB1"/>
    <w:rsid w:val="002A51BE"/>
    <w:rsid w:val="002A5F8F"/>
    <w:rsid w:val="002A6542"/>
    <w:rsid w:val="002A760E"/>
    <w:rsid w:val="002A797D"/>
    <w:rsid w:val="002B05B9"/>
    <w:rsid w:val="002B0805"/>
    <w:rsid w:val="002B0DFD"/>
    <w:rsid w:val="002B11CC"/>
    <w:rsid w:val="002B183B"/>
    <w:rsid w:val="002B194A"/>
    <w:rsid w:val="002B1B99"/>
    <w:rsid w:val="002B1FEE"/>
    <w:rsid w:val="002B20B0"/>
    <w:rsid w:val="002B36A1"/>
    <w:rsid w:val="002B3A19"/>
    <w:rsid w:val="002B4644"/>
    <w:rsid w:val="002B4DBD"/>
    <w:rsid w:val="002B592F"/>
    <w:rsid w:val="002B6339"/>
    <w:rsid w:val="002B6EF4"/>
    <w:rsid w:val="002C011F"/>
    <w:rsid w:val="002C029B"/>
    <w:rsid w:val="002C67E4"/>
    <w:rsid w:val="002C6BC6"/>
    <w:rsid w:val="002C79FA"/>
    <w:rsid w:val="002D2519"/>
    <w:rsid w:val="002D2B19"/>
    <w:rsid w:val="002D2C72"/>
    <w:rsid w:val="002D3298"/>
    <w:rsid w:val="002D405E"/>
    <w:rsid w:val="002D5BFE"/>
    <w:rsid w:val="002D6024"/>
    <w:rsid w:val="002D61E3"/>
    <w:rsid w:val="002E00EE"/>
    <w:rsid w:val="002E0A7D"/>
    <w:rsid w:val="002E3322"/>
    <w:rsid w:val="002E4D11"/>
    <w:rsid w:val="002E7499"/>
    <w:rsid w:val="002E75F6"/>
    <w:rsid w:val="002F0D6A"/>
    <w:rsid w:val="002F1ABA"/>
    <w:rsid w:val="002F4933"/>
    <w:rsid w:val="002F4F9E"/>
    <w:rsid w:val="002F7D49"/>
    <w:rsid w:val="00300CDB"/>
    <w:rsid w:val="00302B10"/>
    <w:rsid w:val="00302C30"/>
    <w:rsid w:val="0030430D"/>
    <w:rsid w:val="0030532E"/>
    <w:rsid w:val="00307EB9"/>
    <w:rsid w:val="00311180"/>
    <w:rsid w:val="003116BE"/>
    <w:rsid w:val="00313E2F"/>
    <w:rsid w:val="00314818"/>
    <w:rsid w:val="003172DC"/>
    <w:rsid w:val="00322C5B"/>
    <w:rsid w:val="00324C31"/>
    <w:rsid w:val="00325108"/>
    <w:rsid w:val="00326BE2"/>
    <w:rsid w:val="00327934"/>
    <w:rsid w:val="00327D7A"/>
    <w:rsid w:val="003304FE"/>
    <w:rsid w:val="003317C8"/>
    <w:rsid w:val="003325B7"/>
    <w:rsid w:val="00335F34"/>
    <w:rsid w:val="0034052F"/>
    <w:rsid w:val="003438E2"/>
    <w:rsid w:val="0035086E"/>
    <w:rsid w:val="00350950"/>
    <w:rsid w:val="0035312E"/>
    <w:rsid w:val="0035389E"/>
    <w:rsid w:val="0035462D"/>
    <w:rsid w:val="00354C53"/>
    <w:rsid w:val="00360A06"/>
    <w:rsid w:val="00360AA0"/>
    <w:rsid w:val="00360BBA"/>
    <w:rsid w:val="00372A21"/>
    <w:rsid w:val="00375448"/>
    <w:rsid w:val="003765B8"/>
    <w:rsid w:val="00376AE2"/>
    <w:rsid w:val="00376B6D"/>
    <w:rsid w:val="003772E9"/>
    <w:rsid w:val="003802FA"/>
    <w:rsid w:val="00381DCA"/>
    <w:rsid w:val="00382642"/>
    <w:rsid w:val="00383036"/>
    <w:rsid w:val="00385F91"/>
    <w:rsid w:val="003865D1"/>
    <w:rsid w:val="0038672E"/>
    <w:rsid w:val="003869F7"/>
    <w:rsid w:val="0038702E"/>
    <w:rsid w:val="00390FFB"/>
    <w:rsid w:val="003929C6"/>
    <w:rsid w:val="00392A3A"/>
    <w:rsid w:val="003931FE"/>
    <w:rsid w:val="003946F3"/>
    <w:rsid w:val="0039506D"/>
    <w:rsid w:val="0039590F"/>
    <w:rsid w:val="0039702E"/>
    <w:rsid w:val="003A0483"/>
    <w:rsid w:val="003A07CA"/>
    <w:rsid w:val="003A07DD"/>
    <w:rsid w:val="003A0AD2"/>
    <w:rsid w:val="003A51C7"/>
    <w:rsid w:val="003A580B"/>
    <w:rsid w:val="003A66C6"/>
    <w:rsid w:val="003B14E6"/>
    <w:rsid w:val="003B2900"/>
    <w:rsid w:val="003B468C"/>
    <w:rsid w:val="003B56B1"/>
    <w:rsid w:val="003B5C14"/>
    <w:rsid w:val="003B5CFC"/>
    <w:rsid w:val="003B61AB"/>
    <w:rsid w:val="003B75F3"/>
    <w:rsid w:val="003C1669"/>
    <w:rsid w:val="003C33DC"/>
    <w:rsid w:val="003C3729"/>
    <w:rsid w:val="003C3971"/>
    <w:rsid w:val="003C430A"/>
    <w:rsid w:val="003C4B24"/>
    <w:rsid w:val="003C51AE"/>
    <w:rsid w:val="003C5468"/>
    <w:rsid w:val="003C6A8C"/>
    <w:rsid w:val="003C7E3B"/>
    <w:rsid w:val="003D0F89"/>
    <w:rsid w:val="003D2EF2"/>
    <w:rsid w:val="003D4099"/>
    <w:rsid w:val="003D42C2"/>
    <w:rsid w:val="003D466B"/>
    <w:rsid w:val="003D7CB2"/>
    <w:rsid w:val="003E1D3F"/>
    <w:rsid w:val="003E29F3"/>
    <w:rsid w:val="003E3380"/>
    <w:rsid w:val="003E3B62"/>
    <w:rsid w:val="003E4798"/>
    <w:rsid w:val="003E6524"/>
    <w:rsid w:val="003E7753"/>
    <w:rsid w:val="003E7ED9"/>
    <w:rsid w:val="003F07FB"/>
    <w:rsid w:val="003F0B00"/>
    <w:rsid w:val="003F0C6B"/>
    <w:rsid w:val="003F1DE5"/>
    <w:rsid w:val="003F275D"/>
    <w:rsid w:val="003F27E7"/>
    <w:rsid w:val="003F474B"/>
    <w:rsid w:val="003F6ACE"/>
    <w:rsid w:val="003F6DEF"/>
    <w:rsid w:val="003F744F"/>
    <w:rsid w:val="003F760D"/>
    <w:rsid w:val="003F775D"/>
    <w:rsid w:val="00400684"/>
    <w:rsid w:val="004007D9"/>
    <w:rsid w:val="00401944"/>
    <w:rsid w:val="00401FA4"/>
    <w:rsid w:val="0040205D"/>
    <w:rsid w:val="00403FF3"/>
    <w:rsid w:val="0040569B"/>
    <w:rsid w:val="0040649B"/>
    <w:rsid w:val="00407E20"/>
    <w:rsid w:val="00415661"/>
    <w:rsid w:val="004166A1"/>
    <w:rsid w:val="00416DC9"/>
    <w:rsid w:val="0041733B"/>
    <w:rsid w:val="00417EA8"/>
    <w:rsid w:val="00420E7C"/>
    <w:rsid w:val="00420FB8"/>
    <w:rsid w:val="00423334"/>
    <w:rsid w:val="00423643"/>
    <w:rsid w:val="00426737"/>
    <w:rsid w:val="0043242D"/>
    <w:rsid w:val="004345EC"/>
    <w:rsid w:val="00440181"/>
    <w:rsid w:val="00445A42"/>
    <w:rsid w:val="00447E0C"/>
    <w:rsid w:val="00451EFE"/>
    <w:rsid w:val="00452E79"/>
    <w:rsid w:val="00453FBB"/>
    <w:rsid w:val="00453FE3"/>
    <w:rsid w:val="004540A9"/>
    <w:rsid w:val="00454293"/>
    <w:rsid w:val="0045717A"/>
    <w:rsid w:val="00463240"/>
    <w:rsid w:val="00463324"/>
    <w:rsid w:val="00464047"/>
    <w:rsid w:val="0046561C"/>
    <w:rsid w:val="004667DE"/>
    <w:rsid w:val="00470E29"/>
    <w:rsid w:val="004728B7"/>
    <w:rsid w:val="00472964"/>
    <w:rsid w:val="00472B98"/>
    <w:rsid w:val="00474C44"/>
    <w:rsid w:val="0047564A"/>
    <w:rsid w:val="00475AC6"/>
    <w:rsid w:val="00476106"/>
    <w:rsid w:val="004768DA"/>
    <w:rsid w:val="00477B86"/>
    <w:rsid w:val="004812DD"/>
    <w:rsid w:val="004819D5"/>
    <w:rsid w:val="00481A7B"/>
    <w:rsid w:val="00482501"/>
    <w:rsid w:val="004826A9"/>
    <w:rsid w:val="00483D52"/>
    <w:rsid w:val="004868AD"/>
    <w:rsid w:val="00487112"/>
    <w:rsid w:val="00493A70"/>
    <w:rsid w:val="00495736"/>
    <w:rsid w:val="00496BA8"/>
    <w:rsid w:val="00496E4B"/>
    <w:rsid w:val="004A1B75"/>
    <w:rsid w:val="004A1C51"/>
    <w:rsid w:val="004A3D27"/>
    <w:rsid w:val="004A48FA"/>
    <w:rsid w:val="004A5DB3"/>
    <w:rsid w:val="004A6E04"/>
    <w:rsid w:val="004B2B1C"/>
    <w:rsid w:val="004B3447"/>
    <w:rsid w:val="004B4E61"/>
    <w:rsid w:val="004B5861"/>
    <w:rsid w:val="004B5C7F"/>
    <w:rsid w:val="004C0E4C"/>
    <w:rsid w:val="004C15E6"/>
    <w:rsid w:val="004C1601"/>
    <w:rsid w:val="004C1615"/>
    <w:rsid w:val="004C19E4"/>
    <w:rsid w:val="004C260B"/>
    <w:rsid w:val="004C2676"/>
    <w:rsid w:val="004C2761"/>
    <w:rsid w:val="004C6022"/>
    <w:rsid w:val="004C6974"/>
    <w:rsid w:val="004C72F9"/>
    <w:rsid w:val="004C7C52"/>
    <w:rsid w:val="004D0905"/>
    <w:rsid w:val="004D1389"/>
    <w:rsid w:val="004D28B5"/>
    <w:rsid w:val="004D2D6F"/>
    <w:rsid w:val="004D3578"/>
    <w:rsid w:val="004D35DC"/>
    <w:rsid w:val="004D412E"/>
    <w:rsid w:val="004D4395"/>
    <w:rsid w:val="004D4C55"/>
    <w:rsid w:val="004D5ADE"/>
    <w:rsid w:val="004D5EB9"/>
    <w:rsid w:val="004D7D9D"/>
    <w:rsid w:val="004E0FCD"/>
    <w:rsid w:val="004E213A"/>
    <w:rsid w:val="004E2762"/>
    <w:rsid w:val="004E4D20"/>
    <w:rsid w:val="004E6A6B"/>
    <w:rsid w:val="004E77CF"/>
    <w:rsid w:val="004E7F91"/>
    <w:rsid w:val="004F0199"/>
    <w:rsid w:val="004F0988"/>
    <w:rsid w:val="004F1ED6"/>
    <w:rsid w:val="004F233B"/>
    <w:rsid w:val="004F3340"/>
    <w:rsid w:val="004F38A3"/>
    <w:rsid w:val="004F3E3D"/>
    <w:rsid w:val="004F58D8"/>
    <w:rsid w:val="004F7D81"/>
    <w:rsid w:val="004F7DEF"/>
    <w:rsid w:val="004F7FAD"/>
    <w:rsid w:val="00500589"/>
    <w:rsid w:val="00500C86"/>
    <w:rsid w:val="00502D4C"/>
    <w:rsid w:val="00502D9B"/>
    <w:rsid w:val="00503413"/>
    <w:rsid w:val="005035B9"/>
    <w:rsid w:val="005038CA"/>
    <w:rsid w:val="00504DB3"/>
    <w:rsid w:val="00505504"/>
    <w:rsid w:val="00506C9D"/>
    <w:rsid w:val="00510297"/>
    <w:rsid w:val="0051276C"/>
    <w:rsid w:val="00512E97"/>
    <w:rsid w:val="00513CF2"/>
    <w:rsid w:val="005152B9"/>
    <w:rsid w:val="0052034A"/>
    <w:rsid w:val="005212D6"/>
    <w:rsid w:val="00523F59"/>
    <w:rsid w:val="00524E74"/>
    <w:rsid w:val="00526291"/>
    <w:rsid w:val="00526A6E"/>
    <w:rsid w:val="00527059"/>
    <w:rsid w:val="00527C02"/>
    <w:rsid w:val="005309AF"/>
    <w:rsid w:val="00530BAC"/>
    <w:rsid w:val="00531036"/>
    <w:rsid w:val="005310D2"/>
    <w:rsid w:val="00531552"/>
    <w:rsid w:val="0053388B"/>
    <w:rsid w:val="00534BE5"/>
    <w:rsid w:val="00534BF4"/>
    <w:rsid w:val="00535773"/>
    <w:rsid w:val="0054046B"/>
    <w:rsid w:val="00541809"/>
    <w:rsid w:val="00543E6C"/>
    <w:rsid w:val="00545F02"/>
    <w:rsid w:val="0055291B"/>
    <w:rsid w:val="00556D61"/>
    <w:rsid w:val="00560892"/>
    <w:rsid w:val="00563684"/>
    <w:rsid w:val="00563714"/>
    <w:rsid w:val="00564D68"/>
    <w:rsid w:val="00565087"/>
    <w:rsid w:val="00567534"/>
    <w:rsid w:val="00567C2A"/>
    <w:rsid w:val="00570A32"/>
    <w:rsid w:val="005710B2"/>
    <w:rsid w:val="00572E14"/>
    <w:rsid w:val="00572E94"/>
    <w:rsid w:val="0057381A"/>
    <w:rsid w:val="00575133"/>
    <w:rsid w:val="0057672C"/>
    <w:rsid w:val="005776DB"/>
    <w:rsid w:val="005833B5"/>
    <w:rsid w:val="005834F5"/>
    <w:rsid w:val="00583C12"/>
    <w:rsid w:val="00586673"/>
    <w:rsid w:val="005869F3"/>
    <w:rsid w:val="00593264"/>
    <w:rsid w:val="00593820"/>
    <w:rsid w:val="00594220"/>
    <w:rsid w:val="00594A1E"/>
    <w:rsid w:val="00594F57"/>
    <w:rsid w:val="005973BE"/>
    <w:rsid w:val="005A0674"/>
    <w:rsid w:val="005A252D"/>
    <w:rsid w:val="005A283F"/>
    <w:rsid w:val="005A3005"/>
    <w:rsid w:val="005A4921"/>
    <w:rsid w:val="005A5986"/>
    <w:rsid w:val="005A656C"/>
    <w:rsid w:val="005B177F"/>
    <w:rsid w:val="005B2D59"/>
    <w:rsid w:val="005B363E"/>
    <w:rsid w:val="005B3A6D"/>
    <w:rsid w:val="005B74DA"/>
    <w:rsid w:val="005C2501"/>
    <w:rsid w:val="005C25FF"/>
    <w:rsid w:val="005C43AC"/>
    <w:rsid w:val="005C7266"/>
    <w:rsid w:val="005C7420"/>
    <w:rsid w:val="005D0C87"/>
    <w:rsid w:val="005D2BC8"/>
    <w:rsid w:val="005D2E01"/>
    <w:rsid w:val="005D4FFE"/>
    <w:rsid w:val="005D6A02"/>
    <w:rsid w:val="005D7526"/>
    <w:rsid w:val="005E1A8B"/>
    <w:rsid w:val="005E25AB"/>
    <w:rsid w:val="005E2982"/>
    <w:rsid w:val="005E318B"/>
    <w:rsid w:val="005E5A28"/>
    <w:rsid w:val="005E6516"/>
    <w:rsid w:val="005E66AC"/>
    <w:rsid w:val="005E69AE"/>
    <w:rsid w:val="005E7D87"/>
    <w:rsid w:val="005F23E7"/>
    <w:rsid w:val="005F28DB"/>
    <w:rsid w:val="005F381B"/>
    <w:rsid w:val="005F393C"/>
    <w:rsid w:val="005F39D5"/>
    <w:rsid w:val="005F3A15"/>
    <w:rsid w:val="005F7052"/>
    <w:rsid w:val="00600854"/>
    <w:rsid w:val="0060129F"/>
    <w:rsid w:val="00601677"/>
    <w:rsid w:val="006024D8"/>
    <w:rsid w:val="0060286A"/>
    <w:rsid w:val="00602AEA"/>
    <w:rsid w:val="0060438D"/>
    <w:rsid w:val="00606C90"/>
    <w:rsid w:val="006073EA"/>
    <w:rsid w:val="00607E3C"/>
    <w:rsid w:val="00614FDF"/>
    <w:rsid w:val="006151BD"/>
    <w:rsid w:val="00615F3B"/>
    <w:rsid w:val="00620C82"/>
    <w:rsid w:val="006234AA"/>
    <w:rsid w:val="00623E06"/>
    <w:rsid w:val="00623F3E"/>
    <w:rsid w:val="00624566"/>
    <w:rsid w:val="006246A7"/>
    <w:rsid w:val="00625205"/>
    <w:rsid w:val="0062595A"/>
    <w:rsid w:val="006261A9"/>
    <w:rsid w:val="006301E8"/>
    <w:rsid w:val="0063355E"/>
    <w:rsid w:val="00634443"/>
    <w:rsid w:val="00634544"/>
    <w:rsid w:val="00635057"/>
    <w:rsid w:val="0063543D"/>
    <w:rsid w:val="0064068B"/>
    <w:rsid w:val="0064163A"/>
    <w:rsid w:val="006423F8"/>
    <w:rsid w:val="006445E1"/>
    <w:rsid w:val="00646F27"/>
    <w:rsid w:val="00647114"/>
    <w:rsid w:val="006508C7"/>
    <w:rsid w:val="006513A7"/>
    <w:rsid w:val="006528E0"/>
    <w:rsid w:val="006540F3"/>
    <w:rsid w:val="00654ADA"/>
    <w:rsid w:val="00656249"/>
    <w:rsid w:val="00656B9D"/>
    <w:rsid w:val="00657DFA"/>
    <w:rsid w:val="00662106"/>
    <w:rsid w:val="00662852"/>
    <w:rsid w:val="00663541"/>
    <w:rsid w:val="00663BAD"/>
    <w:rsid w:val="0066559E"/>
    <w:rsid w:val="006660AB"/>
    <w:rsid w:val="00666B86"/>
    <w:rsid w:val="0067399D"/>
    <w:rsid w:val="006758B1"/>
    <w:rsid w:val="00675D81"/>
    <w:rsid w:val="0068290F"/>
    <w:rsid w:val="006847C4"/>
    <w:rsid w:val="0068530E"/>
    <w:rsid w:val="00685A25"/>
    <w:rsid w:val="006867AA"/>
    <w:rsid w:val="00687D57"/>
    <w:rsid w:val="00694297"/>
    <w:rsid w:val="00694C21"/>
    <w:rsid w:val="006959D1"/>
    <w:rsid w:val="006963BE"/>
    <w:rsid w:val="006A1AB0"/>
    <w:rsid w:val="006A2C3D"/>
    <w:rsid w:val="006A323F"/>
    <w:rsid w:val="006A5D67"/>
    <w:rsid w:val="006A7137"/>
    <w:rsid w:val="006A7DEF"/>
    <w:rsid w:val="006B077B"/>
    <w:rsid w:val="006B1090"/>
    <w:rsid w:val="006B30D0"/>
    <w:rsid w:val="006B3962"/>
    <w:rsid w:val="006B546D"/>
    <w:rsid w:val="006B6969"/>
    <w:rsid w:val="006B75D8"/>
    <w:rsid w:val="006B7D57"/>
    <w:rsid w:val="006C177D"/>
    <w:rsid w:val="006C1DC3"/>
    <w:rsid w:val="006C228A"/>
    <w:rsid w:val="006C3D95"/>
    <w:rsid w:val="006C47BD"/>
    <w:rsid w:val="006C56E0"/>
    <w:rsid w:val="006C6B22"/>
    <w:rsid w:val="006C7407"/>
    <w:rsid w:val="006D0168"/>
    <w:rsid w:val="006D0F9A"/>
    <w:rsid w:val="006D415A"/>
    <w:rsid w:val="006D4648"/>
    <w:rsid w:val="006D5410"/>
    <w:rsid w:val="006D633B"/>
    <w:rsid w:val="006D66B5"/>
    <w:rsid w:val="006D7B72"/>
    <w:rsid w:val="006E1ABB"/>
    <w:rsid w:val="006E5A69"/>
    <w:rsid w:val="006E5C86"/>
    <w:rsid w:val="006F137C"/>
    <w:rsid w:val="006F4A2D"/>
    <w:rsid w:val="006F5C12"/>
    <w:rsid w:val="00701A75"/>
    <w:rsid w:val="0070297F"/>
    <w:rsid w:val="00703218"/>
    <w:rsid w:val="00703FDB"/>
    <w:rsid w:val="00704EDC"/>
    <w:rsid w:val="0070556D"/>
    <w:rsid w:val="0070610A"/>
    <w:rsid w:val="00706226"/>
    <w:rsid w:val="00707E4B"/>
    <w:rsid w:val="007101FA"/>
    <w:rsid w:val="00711CF9"/>
    <w:rsid w:val="007121B5"/>
    <w:rsid w:val="00712430"/>
    <w:rsid w:val="00713C44"/>
    <w:rsid w:val="0071674C"/>
    <w:rsid w:val="00722D62"/>
    <w:rsid w:val="0072712F"/>
    <w:rsid w:val="00727A5D"/>
    <w:rsid w:val="007302D6"/>
    <w:rsid w:val="007312C2"/>
    <w:rsid w:val="0073307B"/>
    <w:rsid w:val="00733788"/>
    <w:rsid w:val="00734564"/>
    <w:rsid w:val="00734A5B"/>
    <w:rsid w:val="0074026F"/>
    <w:rsid w:val="00740A8B"/>
    <w:rsid w:val="00740BC1"/>
    <w:rsid w:val="007429F6"/>
    <w:rsid w:val="00744E3A"/>
    <w:rsid w:val="00744E76"/>
    <w:rsid w:val="00746909"/>
    <w:rsid w:val="0074799B"/>
    <w:rsid w:val="0075000F"/>
    <w:rsid w:val="00750A04"/>
    <w:rsid w:val="00752198"/>
    <w:rsid w:val="007534AC"/>
    <w:rsid w:val="00753881"/>
    <w:rsid w:val="007551EB"/>
    <w:rsid w:val="00756130"/>
    <w:rsid w:val="00757410"/>
    <w:rsid w:val="0076084E"/>
    <w:rsid w:val="00761355"/>
    <w:rsid w:val="00761CC0"/>
    <w:rsid w:val="00762B40"/>
    <w:rsid w:val="00762CEB"/>
    <w:rsid w:val="00763321"/>
    <w:rsid w:val="00764753"/>
    <w:rsid w:val="00764C7C"/>
    <w:rsid w:val="00765AB3"/>
    <w:rsid w:val="00765B58"/>
    <w:rsid w:val="00766D31"/>
    <w:rsid w:val="00766EB2"/>
    <w:rsid w:val="007725A2"/>
    <w:rsid w:val="00772955"/>
    <w:rsid w:val="00772FB5"/>
    <w:rsid w:val="00774DA4"/>
    <w:rsid w:val="007756A0"/>
    <w:rsid w:val="00776634"/>
    <w:rsid w:val="00776849"/>
    <w:rsid w:val="00777975"/>
    <w:rsid w:val="007809E5"/>
    <w:rsid w:val="00781F0F"/>
    <w:rsid w:val="007833DA"/>
    <w:rsid w:val="00787683"/>
    <w:rsid w:val="007921F5"/>
    <w:rsid w:val="00792E76"/>
    <w:rsid w:val="00793A35"/>
    <w:rsid w:val="0079544F"/>
    <w:rsid w:val="007955FC"/>
    <w:rsid w:val="007A1885"/>
    <w:rsid w:val="007A57AC"/>
    <w:rsid w:val="007A6283"/>
    <w:rsid w:val="007A7C22"/>
    <w:rsid w:val="007A7EA5"/>
    <w:rsid w:val="007B500E"/>
    <w:rsid w:val="007B600E"/>
    <w:rsid w:val="007B6162"/>
    <w:rsid w:val="007C1C86"/>
    <w:rsid w:val="007C2167"/>
    <w:rsid w:val="007C23F3"/>
    <w:rsid w:val="007C5CD8"/>
    <w:rsid w:val="007C634B"/>
    <w:rsid w:val="007D12CB"/>
    <w:rsid w:val="007D1CA7"/>
    <w:rsid w:val="007D1E99"/>
    <w:rsid w:val="007D5A30"/>
    <w:rsid w:val="007D7EEC"/>
    <w:rsid w:val="007E0113"/>
    <w:rsid w:val="007E1E1E"/>
    <w:rsid w:val="007E20A7"/>
    <w:rsid w:val="007E27DA"/>
    <w:rsid w:val="007E2B43"/>
    <w:rsid w:val="007E33C8"/>
    <w:rsid w:val="007E3BEE"/>
    <w:rsid w:val="007E3F11"/>
    <w:rsid w:val="007E448B"/>
    <w:rsid w:val="007E4845"/>
    <w:rsid w:val="007E5AE9"/>
    <w:rsid w:val="007E5F0D"/>
    <w:rsid w:val="007E6354"/>
    <w:rsid w:val="007E6747"/>
    <w:rsid w:val="007E7CB6"/>
    <w:rsid w:val="007F0F4A"/>
    <w:rsid w:val="007F1CFA"/>
    <w:rsid w:val="007F2042"/>
    <w:rsid w:val="007F221E"/>
    <w:rsid w:val="007F5061"/>
    <w:rsid w:val="007F57DE"/>
    <w:rsid w:val="00802493"/>
    <w:rsid w:val="008028A4"/>
    <w:rsid w:val="00802B8D"/>
    <w:rsid w:val="00802C23"/>
    <w:rsid w:val="00805884"/>
    <w:rsid w:val="00806E29"/>
    <w:rsid w:val="00811DA5"/>
    <w:rsid w:val="00814664"/>
    <w:rsid w:val="00814EEB"/>
    <w:rsid w:val="008151F1"/>
    <w:rsid w:val="00815455"/>
    <w:rsid w:val="00816547"/>
    <w:rsid w:val="00816E79"/>
    <w:rsid w:val="008174FE"/>
    <w:rsid w:val="0081783A"/>
    <w:rsid w:val="00817A65"/>
    <w:rsid w:val="00820B25"/>
    <w:rsid w:val="00820E2A"/>
    <w:rsid w:val="00821BE7"/>
    <w:rsid w:val="0082350C"/>
    <w:rsid w:val="00823EC7"/>
    <w:rsid w:val="008246AB"/>
    <w:rsid w:val="0082493D"/>
    <w:rsid w:val="00825EDF"/>
    <w:rsid w:val="0083069F"/>
    <w:rsid w:val="00830747"/>
    <w:rsid w:val="00832AA2"/>
    <w:rsid w:val="0083481A"/>
    <w:rsid w:val="0083755B"/>
    <w:rsid w:val="00840DCA"/>
    <w:rsid w:val="008454C5"/>
    <w:rsid w:val="00850AF5"/>
    <w:rsid w:val="00850D6A"/>
    <w:rsid w:val="00850FBE"/>
    <w:rsid w:val="00851681"/>
    <w:rsid w:val="0085227D"/>
    <w:rsid w:val="00852D30"/>
    <w:rsid w:val="00854543"/>
    <w:rsid w:val="00854C13"/>
    <w:rsid w:val="0085666A"/>
    <w:rsid w:val="00856EF6"/>
    <w:rsid w:val="00863A8A"/>
    <w:rsid w:val="00864ED2"/>
    <w:rsid w:val="008677DA"/>
    <w:rsid w:val="00870EB0"/>
    <w:rsid w:val="008760D1"/>
    <w:rsid w:val="008768CA"/>
    <w:rsid w:val="0087770B"/>
    <w:rsid w:val="00877A40"/>
    <w:rsid w:val="0088066C"/>
    <w:rsid w:val="00880716"/>
    <w:rsid w:val="00880889"/>
    <w:rsid w:val="00881ECF"/>
    <w:rsid w:val="00882CF3"/>
    <w:rsid w:val="00884355"/>
    <w:rsid w:val="008855B9"/>
    <w:rsid w:val="00885A3C"/>
    <w:rsid w:val="00886F35"/>
    <w:rsid w:val="0088727A"/>
    <w:rsid w:val="00887BEA"/>
    <w:rsid w:val="0089062C"/>
    <w:rsid w:val="0089137B"/>
    <w:rsid w:val="00893E1A"/>
    <w:rsid w:val="00894406"/>
    <w:rsid w:val="00895E23"/>
    <w:rsid w:val="008A07D9"/>
    <w:rsid w:val="008A3527"/>
    <w:rsid w:val="008A5F18"/>
    <w:rsid w:val="008A78FF"/>
    <w:rsid w:val="008A7C26"/>
    <w:rsid w:val="008B1D62"/>
    <w:rsid w:val="008B4249"/>
    <w:rsid w:val="008B7C99"/>
    <w:rsid w:val="008C08B8"/>
    <w:rsid w:val="008C103C"/>
    <w:rsid w:val="008C2245"/>
    <w:rsid w:val="008C384C"/>
    <w:rsid w:val="008C385C"/>
    <w:rsid w:val="008C494B"/>
    <w:rsid w:val="008C5916"/>
    <w:rsid w:val="008C5A52"/>
    <w:rsid w:val="008C64E3"/>
    <w:rsid w:val="008C6B21"/>
    <w:rsid w:val="008C6C35"/>
    <w:rsid w:val="008D0A3B"/>
    <w:rsid w:val="008D4262"/>
    <w:rsid w:val="008D4F18"/>
    <w:rsid w:val="008D55A3"/>
    <w:rsid w:val="008D7038"/>
    <w:rsid w:val="008D74FE"/>
    <w:rsid w:val="008D7883"/>
    <w:rsid w:val="008D7C1F"/>
    <w:rsid w:val="008E2413"/>
    <w:rsid w:val="008E290E"/>
    <w:rsid w:val="008E2B01"/>
    <w:rsid w:val="008E75A4"/>
    <w:rsid w:val="008E7986"/>
    <w:rsid w:val="008E7B99"/>
    <w:rsid w:val="008F0C7D"/>
    <w:rsid w:val="008F29A8"/>
    <w:rsid w:val="008F5522"/>
    <w:rsid w:val="008F565C"/>
    <w:rsid w:val="008F626A"/>
    <w:rsid w:val="008F6DC9"/>
    <w:rsid w:val="0090271F"/>
    <w:rsid w:val="00902846"/>
    <w:rsid w:val="00902E23"/>
    <w:rsid w:val="00907543"/>
    <w:rsid w:val="0091018D"/>
    <w:rsid w:val="009114D7"/>
    <w:rsid w:val="00911898"/>
    <w:rsid w:val="0091243B"/>
    <w:rsid w:val="0091348E"/>
    <w:rsid w:val="009142F5"/>
    <w:rsid w:val="0091435F"/>
    <w:rsid w:val="00914B4B"/>
    <w:rsid w:val="00916637"/>
    <w:rsid w:val="00917334"/>
    <w:rsid w:val="00917CCB"/>
    <w:rsid w:val="00921018"/>
    <w:rsid w:val="0092176B"/>
    <w:rsid w:val="00921E71"/>
    <w:rsid w:val="00924C53"/>
    <w:rsid w:val="00924D1C"/>
    <w:rsid w:val="00924EB7"/>
    <w:rsid w:val="00927F22"/>
    <w:rsid w:val="0093032A"/>
    <w:rsid w:val="00930919"/>
    <w:rsid w:val="0093165E"/>
    <w:rsid w:val="00931C3C"/>
    <w:rsid w:val="00932C2A"/>
    <w:rsid w:val="00934C80"/>
    <w:rsid w:val="00935136"/>
    <w:rsid w:val="0093559B"/>
    <w:rsid w:val="009357CD"/>
    <w:rsid w:val="009372B5"/>
    <w:rsid w:val="00940254"/>
    <w:rsid w:val="009422F1"/>
    <w:rsid w:val="00942E12"/>
    <w:rsid w:val="00942EC2"/>
    <w:rsid w:val="00943CE5"/>
    <w:rsid w:val="00943F71"/>
    <w:rsid w:val="00944FCC"/>
    <w:rsid w:val="009459D9"/>
    <w:rsid w:val="0094625B"/>
    <w:rsid w:val="00947C76"/>
    <w:rsid w:val="00952E04"/>
    <w:rsid w:val="00954A0C"/>
    <w:rsid w:val="009551CB"/>
    <w:rsid w:val="00955390"/>
    <w:rsid w:val="009573DA"/>
    <w:rsid w:val="009574BA"/>
    <w:rsid w:val="00957852"/>
    <w:rsid w:val="00957B49"/>
    <w:rsid w:val="009608DF"/>
    <w:rsid w:val="009633E9"/>
    <w:rsid w:val="00964DA3"/>
    <w:rsid w:val="00965947"/>
    <w:rsid w:val="00965ED0"/>
    <w:rsid w:val="00966562"/>
    <w:rsid w:val="00966D29"/>
    <w:rsid w:val="009675A5"/>
    <w:rsid w:val="00971777"/>
    <w:rsid w:val="00972C7E"/>
    <w:rsid w:val="009733BF"/>
    <w:rsid w:val="009751F6"/>
    <w:rsid w:val="0097550C"/>
    <w:rsid w:val="00976330"/>
    <w:rsid w:val="00980497"/>
    <w:rsid w:val="00980D27"/>
    <w:rsid w:val="00981E36"/>
    <w:rsid w:val="009825B5"/>
    <w:rsid w:val="00982A84"/>
    <w:rsid w:val="0098313D"/>
    <w:rsid w:val="009832AA"/>
    <w:rsid w:val="00983928"/>
    <w:rsid w:val="0098396D"/>
    <w:rsid w:val="00987E57"/>
    <w:rsid w:val="00991963"/>
    <w:rsid w:val="0099295E"/>
    <w:rsid w:val="009929FF"/>
    <w:rsid w:val="009950D3"/>
    <w:rsid w:val="009A162F"/>
    <w:rsid w:val="009A1B25"/>
    <w:rsid w:val="009A4EC2"/>
    <w:rsid w:val="009A561E"/>
    <w:rsid w:val="009B1855"/>
    <w:rsid w:val="009B236A"/>
    <w:rsid w:val="009B373D"/>
    <w:rsid w:val="009B3A45"/>
    <w:rsid w:val="009B51F8"/>
    <w:rsid w:val="009B6177"/>
    <w:rsid w:val="009C0F0C"/>
    <w:rsid w:val="009C2313"/>
    <w:rsid w:val="009C327F"/>
    <w:rsid w:val="009C3639"/>
    <w:rsid w:val="009C39CA"/>
    <w:rsid w:val="009C4F99"/>
    <w:rsid w:val="009C5F8E"/>
    <w:rsid w:val="009C6D92"/>
    <w:rsid w:val="009D2B95"/>
    <w:rsid w:val="009D4870"/>
    <w:rsid w:val="009D528F"/>
    <w:rsid w:val="009D6C9C"/>
    <w:rsid w:val="009E21E8"/>
    <w:rsid w:val="009E23D5"/>
    <w:rsid w:val="009E5073"/>
    <w:rsid w:val="009E5E7E"/>
    <w:rsid w:val="009E643A"/>
    <w:rsid w:val="009E67D2"/>
    <w:rsid w:val="009E7DA3"/>
    <w:rsid w:val="009F28AE"/>
    <w:rsid w:val="009F37B7"/>
    <w:rsid w:val="009F5433"/>
    <w:rsid w:val="009F5E43"/>
    <w:rsid w:val="00A0194F"/>
    <w:rsid w:val="00A02AF3"/>
    <w:rsid w:val="00A02BA9"/>
    <w:rsid w:val="00A03D09"/>
    <w:rsid w:val="00A04574"/>
    <w:rsid w:val="00A04BE1"/>
    <w:rsid w:val="00A05AD4"/>
    <w:rsid w:val="00A06503"/>
    <w:rsid w:val="00A06A32"/>
    <w:rsid w:val="00A06AAF"/>
    <w:rsid w:val="00A06F4F"/>
    <w:rsid w:val="00A07A10"/>
    <w:rsid w:val="00A07BCF"/>
    <w:rsid w:val="00A102F2"/>
    <w:rsid w:val="00A10F02"/>
    <w:rsid w:val="00A117D6"/>
    <w:rsid w:val="00A13BCD"/>
    <w:rsid w:val="00A13C2E"/>
    <w:rsid w:val="00A14182"/>
    <w:rsid w:val="00A14831"/>
    <w:rsid w:val="00A14D3F"/>
    <w:rsid w:val="00A15F1F"/>
    <w:rsid w:val="00A15F2F"/>
    <w:rsid w:val="00A164B4"/>
    <w:rsid w:val="00A168D7"/>
    <w:rsid w:val="00A16E7E"/>
    <w:rsid w:val="00A20472"/>
    <w:rsid w:val="00A21486"/>
    <w:rsid w:val="00A2152A"/>
    <w:rsid w:val="00A2222B"/>
    <w:rsid w:val="00A227DE"/>
    <w:rsid w:val="00A232E8"/>
    <w:rsid w:val="00A241EF"/>
    <w:rsid w:val="00A26248"/>
    <w:rsid w:val="00A26286"/>
    <w:rsid w:val="00A26956"/>
    <w:rsid w:val="00A3009E"/>
    <w:rsid w:val="00A31634"/>
    <w:rsid w:val="00A32280"/>
    <w:rsid w:val="00A334E3"/>
    <w:rsid w:val="00A3359B"/>
    <w:rsid w:val="00A34836"/>
    <w:rsid w:val="00A359A1"/>
    <w:rsid w:val="00A41830"/>
    <w:rsid w:val="00A41BE4"/>
    <w:rsid w:val="00A517B0"/>
    <w:rsid w:val="00A51810"/>
    <w:rsid w:val="00A52486"/>
    <w:rsid w:val="00A53724"/>
    <w:rsid w:val="00A542F7"/>
    <w:rsid w:val="00A5609E"/>
    <w:rsid w:val="00A625A6"/>
    <w:rsid w:val="00A64157"/>
    <w:rsid w:val="00A64488"/>
    <w:rsid w:val="00A649E7"/>
    <w:rsid w:val="00A658B9"/>
    <w:rsid w:val="00A67816"/>
    <w:rsid w:val="00A704BE"/>
    <w:rsid w:val="00A70BF5"/>
    <w:rsid w:val="00A7175A"/>
    <w:rsid w:val="00A73129"/>
    <w:rsid w:val="00A73346"/>
    <w:rsid w:val="00A747AC"/>
    <w:rsid w:val="00A75621"/>
    <w:rsid w:val="00A75977"/>
    <w:rsid w:val="00A820FB"/>
    <w:rsid w:val="00A82166"/>
    <w:rsid w:val="00A82346"/>
    <w:rsid w:val="00A83518"/>
    <w:rsid w:val="00A8638F"/>
    <w:rsid w:val="00A9004D"/>
    <w:rsid w:val="00A90F13"/>
    <w:rsid w:val="00A91B94"/>
    <w:rsid w:val="00A92BA1"/>
    <w:rsid w:val="00A942D0"/>
    <w:rsid w:val="00A96D60"/>
    <w:rsid w:val="00A9741F"/>
    <w:rsid w:val="00AA0B06"/>
    <w:rsid w:val="00AA10A9"/>
    <w:rsid w:val="00AA13E3"/>
    <w:rsid w:val="00AA1A77"/>
    <w:rsid w:val="00AA3D5D"/>
    <w:rsid w:val="00AA445C"/>
    <w:rsid w:val="00AA537C"/>
    <w:rsid w:val="00AA5567"/>
    <w:rsid w:val="00AA5A3D"/>
    <w:rsid w:val="00AB1619"/>
    <w:rsid w:val="00AB1C8F"/>
    <w:rsid w:val="00AB5A96"/>
    <w:rsid w:val="00AB7038"/>
    <w:rsid w:val="00AB7D8C"/>
    <w:rsid w:val="00AC0150"/>
    <w:rsid w:val="00AC3007"/>
    <w:rsid w:val="00AC3CC6"/>
    <w:rsid w:val="00AC541B"/>
    <w:rsid w:val="00AC56C6"/>
    <w:rsid w:val="00AC5847"/>
    <w:rsid w:val="00AC6BC6"/>
    <w:rsid w:val="00AD256E"/>
    <w:rsid w:val="00AD32E7"/>
    <w:rsid w:val="00AD4D49"/>
    <w:rsid w:val="00AD5F64"/>
    <w:rsid w:val="00AD617D"/>
    <w:rsid w:val="00AE0D7C"/>
    <w:rsid w:val="00AE151F"/>
    <w:rsid w:val="00AE2B15"/>
    <w:rsid w:val="00AE3797"/>
    <w:rsid w:val="00AE4698"/>
    <w:rsid w:val="00AE60AB"/>
    <w:rsid w:val="00AE6823"/>
    <w:rsid w:val="00AE6EE4"/>
    <w:rsid w:val="00AF1267"/>
    <w:rsid w:val="00AF1B75"/>
    <w:rsid w:val="00AF2977"/>
    <w:rsid w:val="00AF7379"/>
    <w:rsid w:val="00AF7AB0"/>
    <w:rsid w:val="00B0024C"/>
    <w:rsid w:val="00B00A6D"/>
    <w:rsid w:val="00B00BD4"/>
    <w:rsid w:val="00B037D2"/>
    <w:rsid w:val="00B03E8E"/>
    <w:rsid w:val="00B03FF1"/>
    <w:rsid w:val="00B04308"/>
    <w:rsid w:val="00B067E0"/>
    <w:rsid w:val="00B10B01"/>
    <w:rsid w:val="00B128FD"/>
    <w:rsid w:val="00B12B07"/>
    <w:rsid w:val="00B1390A"/>
    <w:rsid w:val="00B13E20"/>
    <w:rsid w:val="00B14CCF"/>
    <w:rsid w:val="00B150E6"/>
    <w:rsid w:val="00B15449"/>
    <w:rsid w:val="00B15FE6"/>
    <w:rsid w:val="00B160F5"/>
    <w:rsid w:val="00B16E7C"/>
    <w:rsid w:val="00B220C1"/>
    <w:rsid w:val="00B224FC"/>
    <w:rsid w:val="00B2448D"/>
    <w:rsid w:val="00B24B83"/>
    <w:rsid w:val="00B24EBC"/>
    <w:rsid w:val="00B2568A"/>
    <w:rsid w:val="00B27D0B"/>
    <w:rsid w:val="00B31CAA"/>
    <w:rsid w:val="00B3227E"/>
    <w:rsid w:val="00B3241C"/>
    <w:rsid w:val="00B34C43"/>
    <w:rsid w:val="00B35505"/>
    <w:rsid w:val="00B36A7D"/>
    <w:rsid w:val="00B37188"/>
    <w:rsid w:val="00B37C70"/>
    <w:rsid w:val="00B4292E"/>
    <w:rsid w:val="00B44F81"/>
    <w:rsid w:val="00B45F97"/>
    <w:rsid w:val="00B4719C"/>
    <w:rsid w:val="00B50264"/>
    <w:rsid w:val="00B504F7"/>
    <w:rsid w:val="00B5178A"/>
    <w:rsid w:val="00B51CDC"/>
    <w:rsid w:val="00B5302C"/>
    <w:rsid w:val="00B55583"/>
    <w:rsid w:val="00B56C27"/>
    <w:rsid w:val="00B5759C"/>
    <w:rsid w:val="00B6070A"/>
    <w:rsid w:val="00B646A5"/>
    <w:rsid w:val="00B65A49"/>
    <w:rsid w:val="00B668E4"/>
    <w:rsid w:val="00B72AF3"/>
    <w:rsid w:val="00B75DED"/>
    <w:rsid w:val="00B76FBB"/>
    <w:rsid w:val="00B804A1"/>
    <w:rsid w:val="00B863E2"/>
    <w:rsid w:val="00B9016C"/>
    <w:rsid w:val="00B92829"/>
    <w:rsid w:val="00B92FE4"/>
    <w:rsid w:val="00B93086"/>
    <w:rsid w:val="00B962C7"/>
    <w:rsid w:val="00B9657C"/>
    <w:rsid w:val="00BA19ED"/>
    <w:rsid w:val="00BA2585"/>
    <w:rsid w:val="00BA299D"/>
    <w:rsid w:val="00BA2A3F"/>
    <w:rsid w:val="00BA300B"/>
    <w:rsid w:val="00BA3C49"/>
    <w:rsid w:val="00BA4B8D"/>
    <w:rsid w:val="00BA50B0"/>
    <w:rsid w:val="00BB661C"/>
    <w:rsid w:val="00BB7442"/>
    <w:rsid w:val="00BC0F7D"/>
    <w:rsid w:val="00BC179E"/>
    <w:rsid w:val="00BC2130"/>
    <w:rsid w:val="00BC2274"/>
    <w:rsid w:val="00BC227B"/>
    <w:rsid w:val="00BC327A"/>
    <w:rsid w:val="00BC3CE7"/>
    <w:rsid w:val="00BC4BFC"/>
    <w:rsid w:val="00BC6A25"/>
    <w:rsid w:val="00BC6AB1"/>
    <w:rsid w:val="00BC6B35"/>
    <w:rsid w:val="00BD12D9"/>
    <w:rsid w:val="00BD15B9"/>
    <w:rsid w:val="00BD4E13"/>
    <w:rsid w:val="00BD5C78"/>
    <w:rsid w:val="00BD629A"/>
    <w:rsid w:val="00BD62F1"/>
    <w:rsid w:val="00BD69E7"/>
    <w:rsid w:val="00BD7171"/>
    <w:rsid w:val="00BD784E"/>
    <w:rsid w:val="00BD7C56"/>
    <w:rsid w:val="00BE08EF"/>
    <w:rsid w:val="00BE1A7C"/>
    <w:rsid w:val="00BE3255"/>
    <w:rsid w:val="00BE4DF0"/>
    <w:rsid w:val="00BE5078"/>
    <w:rsid w:val="00BF01FB"/>
    <w:rsid w:val="00BF095A"/>
    <w:rsid w:val="00BF128E"/>
    <w:rsid w:val="00BF1591"/>
    <w:rsid w:val="00BF4C3B"/>
    <w:rsid w:val="00BF6574"/>
    <w:rsid w:val="00BF692E"/>
    <w:rsid w:val="00BF6CE4"/>
    <w:rsid w:val="00C00555"/>
    <w:rsid w:val="00C00E04"/>
    <w:rsid w:val="00C010CD"/>
    <w:rsid w:val="00C0203B"/>
    <w:rsid w:val="00C0292C"/>
    <w:rsid w:val="00C02C9B"/>
    <w:rsid w:val="00C04A93"/>
    <w:rsid w:val="00C059F9"/>
    <w:rsid w:val="00C05CE0"/>
    <w:rsid w:val="00C0629C"/>
    <w:rsid w:val="00C0777A"/>
    <w:rsid w:val="00C079CE"/>
    <w:rsid w:val="00C12D2F"/>
    <w:rsid w:val="00C1496A"/>
    <w:rsid w:val="00C16008"/>
    <w:rsid w:val="00C1711F"/>
    <w:rsid w:val="00C17557"/>
    <w:rsid w:val="00C17BF7"/>
    <w:rsid w:val="00C17C12"/>
    <w:rsid w:val="00C2036A"/>
    <w:rsid w:val="00C237C4"/>
    <w:rsid w:val="00C2728A"/>
    <w:rsid w:val="00C31FAB"/>
    <w:rsid w:val="00C33079"/>
    <w:rsid w:val="00C331E9"/>
    <w:rsid w:val="00C34D05"/>
    <w:rsid w:val="00C358C6"/>
    <w:rsid w:val="00C371F9"/>
    <w:rsid w:val="00C375A9"/>
    <w:rsid w:val="00C40EAD"/>
    <w:rsid w:val="00C45231"/>
    <w:rsid w:val="00C5093D"/>
    <w:rsid w:val="00C509CE"/>
    <w:rsid w:val="00C50BA3"/>
    <w:rsid w:val="00C50DF3"/>
    <w:rsid w:val="00C53DE8"/>
    <w:rsid w:val="00C54C23"/>
    <w:rsid w:val="00C54E52"/>
    <w:rsid w:val="00C5522B"/>
    <w:rsid w:val="00C573FC"/>
    <w:rsid w:val="00C575E9"/>
    <w:rsid w:val="00C57E50"/>
    <w:rsid w:val="00C61895"/>
    <w:rsid w:val="00C628BE"/>
    <w:rsid w:val="00C64182"/>
    <w:rsid w:val="00C6701F"/>
    <w:rsid w:val="00C677C1"/>
    <w:rsid w:val="00C67AD0"/>
    <w:rsid w:val="00C71DA1"/>
    <w:rsid w:val="00C72833"/>
    <w:rsid w:val="00C74FF0"/>
    <w:rsid w:val="00C75321"/>
    <w:rsid w:val="00C7582B"/>
    <w:rsid w:val="00C76BB0"/>
    <w:rsid w:val="00C77CBD"/>
    <w:rsid w:val="00C80F1D"/>
    <w:rsid w:val="00C81197"/>
    <w:rsid w:val="00C826FE"/>
    <w:rsid w:val="00C84C0F"/>
    <w:rsid w:val="00C86E11"/>
    <w:rsid w:val="00C87227"/>
    <w:rsid w:val="00C90E0A"/>
    <w:rsid w:val="00C90FE2"/>
    <w:rsid w:val="00C91F36"/>
    <w:rsid w:val="00C926E0"/>
    <w:rsid w:val="00C92A14"/>
    <w:rsid w:val="00C92A96"/>
    <w:rsid w:val="00C92B00"/>
    <w:rsid w:val="00C92E30"/>
    <w:rsid w:val="00C93A32"/>
    <w:rsid w:val="00C93F40"/>
    <w:rsid w:val="00C94ACC"/>
    <w:rsid w:val="00C96A5B"/>
    <w:rsid w:val="00C97868"/>
    <w:rsid w:val="00C97EE8"/>
    <w:rsid w:val="00CA146F"/>
    <w:rsid w:val="00CA151B"/>
    <w:rsid w:val="00CA2622"/>
    <w:rsid w:val="00CA3D0C"/>
    <w:rsid w:val="00CA41F0"/>
    <w:rsid w:val="00CA4213"/>
    <w:rsid w:val="00CA4670"/>
    <w:rsid w:val="00CA48A1"/>
    <w:rsid w:val="00CA510C"/>
    <w:rsid w:val="00CA510E"/>
    <w:rsid w:val="00CA53AC"/>
    <w:rsid w:val="00CB2D58"/>
    <w:rsid w:val="00CB3534"/>
    <w:rsid w:val="00CB45A1"/>
    <w:rsid w:val="00CB69DE"/>
    <w:rsid w:val="00CB7AD0"/>
    <w:rsid w:val="00CC0B80"/>
    <w:rsid w:val="00CC1BA0"/>
    <w:rsid w:val="00CC263B"/>
    <w:rsid w:val="00CC3116"/>
    <w:rsid w:val="00CC3947"/>
    <w:rsid w:val="00CC3FFD"/>
    <w:rsid w:val="00CC5BE3"/>
    <w:rsid w:val="00CD15E7"/>
    <w:rsid w:val="00CD1AAF"/>
    <w:rsid w:val="00CD398D"/>
    <w:rsid w:val="00CD5CF4"/>
    <w:rsid w:val="00CD7FD3"/>
    <w:rsid w:val="00CE0B91"/>
    <w:rsid w:val="00CE1B41"/>
    <w:rsid w:val="00CE1D47"/>
    <w:rsid w:val="00CE2F48"/>
    <w:rsid w:val="00CE4FD5"/>
    <w:rsid w:val="00CE608B"/>
    <w:rsid w:val="00CE6614"/>
    <w:rsid w:val="00CE6DD7"/>
    <w:rsid w:val="00CF054E"/>
    <w:rsid w:val="00CF20E3"/>
    <w:rsid w:val="00CF30A9"/>
    <w:rsid w:val="00CF3841"/>
    <w:rsid w:val="00CF620C"/>
    <w:rsid w:val="00CF65B5"/>
    <w:rsid w:val="00D00BA3"/>
    <w:rsid w:val="00D05335"/>
    <w:rsid w:val="00D05C22"/>
    <w:rsid w:val="00D07B82"/>
    <w:rsid w:val="00D1495D"/>
    <w:rsid w:val="00D165A8"/>
    <w:rsid w:val="00D16BB2"/>
    <w:rsid w:val="00D17EB6"/>
    <w:rsid w:val="00D20C25"/>
    <w:rsid w:val="00D21661"/>
    <w:rsid w:val="00D22187"/>
    <w:rsid w:val="00D22803"/>
    <w:rsid w:val="00D237ED"/>
    <w:rsid w:val="00D238B2"/>
    <w:rsid w:val="00D23A6D"/>
    <w:rsid w:val="00D23F96"/>
    <w:rsid w:val="00D2683C"/>
    <w:rsid w:val="00D309CC"/>
    <w:rsid w:val="00D32320"/>
    <w:rsid w:val="00D324F9"/>
    <w:rsid w:val="00D33957"/>
    <w:rsid w:val="00D35FEF"/>
    <w:rsid w:val="00D4156E"/>
    <w:rsid w:val="00D41D01"/>
    <w:rsid w:val="00D4587A"/>
    <w:rsid w:val="00D463D6"/>
    <w:rsid w:val="00D46431"/>
    <w:rsid w:val="00D46607"/>
    <w:rsid w:val="00D47831"/>
    <w:rsid w:val="00D51087"/>
    <w:rsid w:val="00D555DA"/>
    <w:rsid w:val="00D56A52"/>
    <w:rsid w:val="00D57972"/>
    <w:rsid w:val="00D603CA"/>
    <w:rsid w:val="00D62134"/>
    <w:rsid w:val="00D62743"/>
    <w:rsid w:val="00D63135"/>
    <w:rsid w:val="00D647B5"/>
    <w:rsid w:val="00D653C6"/>
    <w:rsid w:val="00D6592A"/>
    <w:rsid w:val="00D6617E"/>
    <w:rsid w:val="00D675A9"/>
    <w:rsid w:val="00D67D1F"/>
    <w:rsid w:val="00D70A38"/>
    <w:rsid w:val="00D71468"/>
    <w:rsid w:val="00D71786"/>
    <w:rsid w:val="00D725F4"/>
    <w:rsid w:val="00D73555"/>
    <w:rsid w:val="00D738D6"/>
    <w:rsid w:val="00D74B53"/>
    <w:rsid w:val="00D74E7B"/>
    <w:rsid w:val="00D755EB"/>
    <w:rsid w:val="00D80235"/>
    <w:rsid w:val="00D8086A"/>
    <w:rsid w:val="00D81B4C"/>
    <w:rsid w:val="00D822AE"/>
    <w:rsid w:val="00D83D56"/>
    <w:rsid w:val="00D84D58"/>
    <w:rsid w:val="00D8507E"/>
    <w:rsid w:val="00D87E00"/>
    <w:rsid w:val="00D90060"/>
    <w:rsid w:val="00D91258"/>
    <w:rsid w:val="00D91288"/>
    <w:rsid w:val="00D9134D"/>
    <w:rsid w:val="00D92E1E"/>
    <w:rsid w:val="00D93D6A"/>
    <w:rsid w:val="00D94AC9"/>
    <w:rsid w:val="00D962C5"/>
    <w:rsid w:val="00D967A2"/>
    <w:rsid w:val="00D975F5"/>
    <w:rsid w:val="00D97761"/>
    <w:rsid w:val="00D97CE6"/>
    <w:rsid w:val="00DA20B4"/>
    <w:rsid w:val="00DA3B10"/>
    <w:rsid w:val="00DA3C0D"/>
    <w:rsid w:val="00DA4E3C"/>
    <w:rsid w:val="00DA7A03"/>
    <w:rsid w:val="00DB06CF"/>
    <w:rsid w:val="00DB0BC8"/>
    <w:rsid w:val="00DB1818"/>
    <w:rsid w:val="00DB26B1"/>
    <w:rsid w:val="00DB4052"/>
    <w:rsid w:val="00DB5DA1"/>
    <w:rsid w:val="00DB76DB"/>
    <w:rsid w:val="00DB79F7"/>
    <w:rsid w:val="00DB7C12"/>
    <w:rsid w:val="00DC309B"/>
    <w:rsid w:val="00DC353B"/>
    <w:rsid w:val="00DC4DA2"/>
    <w:rsid w:val="00DD07AA"/>
    <w:rsid w:val="00DD48CA"/>
    <w:rsid w:val="00DD4C17"/>
    <w:rsid w:val="00DD4D52"/>
    <w:rsid w:val="00DD5B2B"/>
    <w:rsid w:val="00DD5D61"/>
    <w:rsid w:val="00DD6E9C"/>
    <w:rsid w:val="00DD7499"/>
    <w:rsid w:val="00DD7FAC"/>
    <w:rsid w:val="00DE0297"/>
    <w:rsid w:val="00DE0507"/>
    <w:rsid w:val="00DE0987"/>
    <w:rsid w:val="00DE1BDE"/>
    <w:rsid w:val="00DE227C"/>
    <w:rsid w:val="00DE4574"/>
    <w:rsid w:val="00DE55C3"/>
    <w:rsid w:val="00DE7AA0"/>
    <w:rsid w:val="00DF19EA"/>
    <w:rsid w:val="00DF1E17"/>
    <w:rsid w:val="00DF2B1F"/>
    <w:rsid w:val="00DF33DB"/>
    <w:rsid w:val="00DF6189"/>
    <w:rsid w:val="00DF62CD"/>
    <w:rsid w:val="00DF63C1"/>
    <w:rsid w:val="00DF6424"/>
    <w:rsid w:val="00DF6ABF"/>
    <w:rsid w:val="00E02F18"/>
    <w:rsid w:val="00E0431F"/>
    <w:rsid w:val="00E06316"/>
    <w:rsid w:val="00E07A70"/>
    <w:rsid w:val="00E07AA3"/>
    <w:rsid w:val="00E114A9"/>
    <w:rsid w:val="00E13F78"/>
    <w:rsid w:val="00E16509"/>
    <w:rsid w:val="00E167A5"/>
    <w:rsid w:val="00E16985"/>
    <w:rsid w:val="00E21610"/>
    <w:rsid w:val="00E22051"/>
    <w:rsid w:val="00E234BB"/>
    <w:rsid w:val="00E235DB"/>
    <w:rsid w:val="00E23661"/>
    <w:rsid w:val="00E2376C"/>
    <w:rsid w:val="00E23E7C"/>
    <w:rsid w:val="00E2413E"/>
    <w:rsid w:val="00E24513"/>
    <w:rsid w:val="00E30CC7"/>
    <w:rsid w:val="00E320B5"/>
    <w:rsid w:val="00E32B5C"/>
    <w:rsid w:val="00E33919"/>
    <w:rsid w:val="00E35B70"/>
    <w:rsid w:val="00E3687A"/>
    <w:rsid w:val="00E36A63"/>
    <w:rsid w:val="00E40500"/>
    <w:rsid w:val="00E40AE6"/>
    <w:rsid w:val="00E40E1C"/>
    <w:rsid w:val="00E427F6"/>
    <w:rsid w:val="00E44582"/>
    <w:rsid w:val="00E44603"/>
    <w:rsid w:val="00E471F4"/>
    <w:rsid w:val="00E50F5D"/>
    <w:rsid w:val="00E513C1"/>
    <w:rsid w:val="00E52814"/>
    <w:rsid w:val="00E54B95"/>
    <w:rsid w:val="00E62D5A"/>
    <w:rsid w:val="00E64596"/>
    <w:rsid w:val="00E6485D"/>
    <w:rsid w:val="00E670E7"/>
    <w:rsid w:val="00E672B0"/>
    <w:rsid w:val="00E709D4"/>
    <w:rsid w:val="00E72324"/>
    <w:rsid w:val="00E725DD"/>
    <w:rsid w:val="00E72ABE"/>
    <w:rsid w:val="00E73578"/>
    <w:rsid w:val="00E74333"/>
    <w:rsid w:val="00E74B5D"/>
    <w:rsid w:val="00E75946"/>
    <w:rsid w:val="00E7742B"/>
    <w:rsid w:val="00E77645"/>
    <w:rsid w:val="00E80040"/>
    <w:rsid w:val="00E808A6"/>
    <w:rsid w:val="00E828D4"/>
    <w:rsid w:val="00E853F2"/>
    <w:rsid w:val="00E861A6"/>
    <w:rsid w:val="00E922FE"/>
    <w:rsid w:val="00E95EB1"/>
    <w:rsid w:val="00E95F5E"/>
    <w:rsid w:val="00E963F7"/>
    <w:rsid w:val="00EA4492"/>
    <w:rsid w:val="00EA4AD5"/>
    <w:rsid w:val="00EA67D7"/>
    <w:rsid w:val="00EB061A"/>
    <w:rsid w:val="00EB1120"/>
    <w:rsid w:val="00EB1575"/>
    <w:rsid w:val="00EB271D"/>
    <w:rsid w:val="00EB291F"/>
    <w:rsid w:val="00EB36BA"/>
    <w:rsid w:val="00EB7E28"/>
    <w:rsid w:val="00EC14B1"/>
    <w:rsid w:val="00EC17AD"/>
    <w:rsid w:val="00EC24D5"/>
    <w:rsid w:val="00EC25E7"/>
    <w:rsid w:val="00EC3927"/>
    <w:rsid w:val="00EC4847"/>
    <w:rsid w:val="00EC4A25"/>
    <w:rsid w:val="00EC4BAB"/>
    <w:rsid w:val="00EC4F16"/>
    <w:rsid w:val="00EC54B2"/>
    <w:rsid w:val="00EC55DC"/>
    <w:rsid w:val="00EC6AC3"/>
    <w:rsid w:val="00EC7246"/>
    <w:rsid w:val="00ED4A60"/>
    <w:rsid w:val="00EE0137"/>
    <w:rsid w:val="00EE0B97"/>
    <w:rsid w:val="00EE16B7"/>
    <w:rsid w:val="00EE2ECB"/>
    <w:rsid w:val="00EE35F1"/>
    <w:rsid w:val="00EE4122"/>
    <w:rsid w:val="00EE5AA7"/>
    <w:rsid w:val="00EE683F"/>
    <w:rsid w:val="00EE7844"/>
    <w:rsid w:val="00EF1417"/>
    <w:rsid w:val="00EF2D8D"/>
    <w:rsid w:val="00EF3A0C"/>
    <w:rsid w:val="00EF434A"/>
    <w:rsid w:val="00EF4EB7"/>
    <w:rsid w:val="00EF70F3"/>
    <w:rsid w:val="00F00E34"/>
    <w:rsid w:val="00F00FF8"/>
    <w:rsid w:val="00F01F22"/>
    <w:rsid w:val="00F01F84"/>
    <w:rsid w:val="00F025A2"/>
    <w:rsid w:val="00F02751"/>
    <w:rsid w:val="00F02869"/>
    <w:rsid w:val="00F03CA7"/>
    <w:rsid w:val="00F04712"/>
    <w:rsid w:val="00F047F8"/>
    <w:rsid w:val="00F06C24"/>
    <w:rsid w:val="00F06F13"/>
    <w:rsid w:val="00F10C13"/>
    <w:rsid w:val="00F1251B"/>
    <w:rsid w:val="00F15570"/>
    <w:rsid w:val="00F169CF"/>
    <w:rsid w:val="00F200BB"/>
    <w:rsid w:val="00F21311"/>
    <w:rsid w:val="00F229FC"/>
    <w:rsid w:val="00F22EC7"/>
    <w:rsid w:val="00F26D2F"/>
    <w:rsid w:val="00F32234"/>
    <w:rsid w:val="00F32507"/>
    <w:rsid w:val="00F325C8"/>
    <w:rsid w:val="00F32A57"/>
    <w:rsid w:val="00F3347C"/>
    <w:rsid w:val="00F34849"/>
    <w:rsid w:val="00F35A8C"/>
    <w:rsid w:val="00F35E69"/>
    <w:rsid w:val="00F4310F"/>
    <w:rsid w:val="00F479BC"/>
    <w:rsid w:val="00F47A34"/>
    <w:rsid w:val="00F54BE6"/>
    <w:rsid w:val="00F55C49"/>
    <w:rsid w:val="00F55F74"/>
    <w:rsid w:val="00F565B6"/>
    <w:rsid w:val="00F62AEB"/>
    <w:rsid w:val="00F63525"/>
    <w:rsid w:val="00F644CD"/>
    <w:rsid w:val="00F653B8"/>
    <w:rsid w:val="00F662C2"/>
    <w:rsid w:val="00F70647"/>
    <w:rsid w:val="00F70773"/>
    <w:rsid w:val="00F71C69"/>
    <w:rsid w:val="00F722E2"/>
    <w:rsid w:val="00F72EAC"/>
    <w:rsid w:val="00F72F4F"/>
    <w:rsid w:val="00F72FDC"/>
    <w:rsid w:val="00F7495C"/>
    <w:rsid w:val="00F77B99"/>
    <w:rsid w:val="00F77D67"/>
    <w:rsid w:val="00F808F0"/>
    <w:rsid w:val="00F80F5C"/>
    <w:rsid w:val="00F83947"/>
    <w:rsid w:val="00F85BD1"/>
    <w:rsid w:val="00F87D29"/>
    <w:rsid w:val="00F87FFD"/>
    <w:rsid w:val="00F90B00"/>
    <w:rsid w:val="00F91F02"/>
    <w:rsid w:val="00F92595"/>
    <w:rsid w:val="00F92945"/>
    <w:rsid w:val="00F92BEB"/>
    <w:rsid w:val="00F9573C"/>
    <w:rsid w:val="00FA08E1"/>
    <w:rsid w:val="00FA08F3"/>
    <w:rsid w:val="00FA09D0"/>
    <w:rsid w:val="00FA1266"/>
    <w:rsid w:val="00FA29A4"/>
    <w:rsid w:val="00FA3A4C"/>
    <w:rsid w:val="00FB03DC"/>
    <w:rsid w:val="00FB133A"/>
    <w:rsid w:val="00FB50B5"/>
    <w:rsid w:val="00FB586F"/>
    <w:rsid w:val="00FB59CE"/>
    <w:rsid w:val="00FB5EB7"/>
    <w:rsid w:val="00FB645D"/>
    <w:rsid w:val="00FB6A3D"/>
    <w:rsid w:val="00FB7308"/>
    <w:rsid w:val="00FC1192"/>
    <w:rsid w:val="00FC43F3"/>
    <w:rsid w:val="00FC5FC2"/>
    <w:rsid w:val="00FC60A7"/>
    <w:rsid w:val="00FC7411"/>
    <w:rsid w:val="00FD2950"/>
    <w:rsid w:val="00FD3579"/>
    <w:rsid w:val="00FD432B"/>
    <w:rsid w:val="00FD4920"/>
    <w:rsid w:val="00FD63FE"/>
    <w:rsid w:val="00FD6763"/>
    <w:rsid w:val="00FD67F0"/>
    <w:rsid w:val="00FD72EF"/>
    <w:rsid w:val="00FE14B1"/>
    <w:rsid w:val="00FE4C2D"/>
    <w:rsid w:val="00FE7684"/>
    <w:rsid w:val="00FF12D1"/>
    <w:rsid w:val="00FF135C"/>
    <w:rsid w:val="00FF187D"/>
    <w:rsid w:val="00FF2138"/>
    <w:rsid w:val="00FF27B3"/>
    <w:rsid w:val="00FF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9450F96-22CC-7243-8E52-F657C675E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57C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45429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8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2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5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9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28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0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2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3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21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9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05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8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51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60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1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1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43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14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349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6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46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2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96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18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2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8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10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2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9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04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4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2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0</TotalTime>
  <Pages>3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5765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2</cp:revision>
  <cp:lastPrinted>2019-02-25T14:05:00Z</cp:lastPrinted>
  <dcterms:created xsi:type="dcterms:W3CDTF">2024-10-04T18:58:00Z</dcterms:created>
  <dcterms:modified xsi:type="dcterms:W3CDTF">2024-10-04T18:58:00Z</dcterms:modified>
  <cp:category/>
</cp:coreProperties>
</file>